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FFAA1">
      <w:pPr>
        <w:pStyle w:val="5"/>
        <w:ind w:left="0"/>
        <w:rPr>
          <w:rFonts w:ascii="Times New Roman"/>
          <w:sz w:val="20"/>
        </w:rPr>
      </w:pPr>
    </w:p>
    <w:p w14:paraId="05AE9F39">
      <w:pPr>
        <w:pStyle w:val="5"/>
        <w:ind w:left="0"/>
        <w:rPr>
          <w:rFonts w:ascii="Times New Roman"/>
          <w:sz w:val="20"/>
        </w:rPr>
      </w:pPr>
    </w:p>
    <w:p w14:paraId="171F120C">
      <w:pPr>
        <w:pStyle w:val="5"/>
        <w:spacing w:before="7"/>
        <w:ind w:left="0"/>
        <w:rPr>
          <w:rFonts w:ascii="Times New Roman"/>
          <w:sz w:val="27"/>
        </w:rPr>
      </w:pPr>
    </w:p>
    <w:p w14:paraId="72C1A37C">
      <w:pPr>
        <w:pStyle w:val="9"/>
        <w:spacing w:before="41" w:line="278" w:lineRule="auto"/>
        <w:ind w:left="0" w:right="570"/>
        <w:rPr>
          <w:spacing w:val="-2"/>
        </w:rPr>
      </w:pPr>
      <w:r>
        <w:rPr>
          <w:spacing w:val="-2"/>
        </w:rPr>
        <w:t>《</w:t>
      </w:r>
      <w:r>
        <w:rPr>
          <w:rFonts w:hint="eastAsia"/>
          <w:spacing w:val="-2"/>
          <w:lang w:val="en-US" w:eastAsia="zh-CN"/>
        </w:rPr>
        <w:t>温度数据采集仪校准</w:t>
      </w:r>
      <w:r>
        <w:rPr>
          <w:rFonts w:hint="eastAsia"/>
          <w:spacing w:val="-2"/>
        </w:rPr>
        <w:t>规范</w:t>
      </w:r>
      <w:r>
        <w:rPr>
          <w:spacing w:val="-2"/>
        </w:rPr>
        <w:t>》</w:t>
      </w:r>
    </w:p>
    <w:p w14:paraId="1E0413A5">
      <w:pPr>
        <w:pStyle w:val="9"/>
        <w:spacing w:before="41" w:line="278" w:lineRule="auto"/>
        <w:ind w:left="0" w:right="570"/>
      </w:pPr>
      <w:r>
        <w:t>编制说明</w:t>
      </w:r>
    </w:p>
    <w:p w14:paraId="1D725B80">
      <w:pPr>
        <w:pStyle w:val="5"/>
        <w:ind w:left="0"/>
        <w:rPr>
          <w:sz w:val="42"/>
        </w:rPr>
      </w:pPr>
    </w:p>
    <w:p w14:paraId="472D0252">
      <w:pPr>
        <w:pStyle w:val="5"/>
        <w:ind w:left="0"/>
        <w:rPr>
          <w:sz w:val="42"/>
        </w:rPr>
      </w:pPr>
    </w:p>
    <w:p w14:paraId="24BEEA8E">
      <w:pPr>
        <w:pStyle w:val="5"/>
        <w:ind w:left="0"/>
        <w:rPr>
          <w:sz w:val="42"/>
        </w:rPr>
      </w:pPr>
    </w:p>
    <w:p w14:paraId="4B3914D0">
      <w:pPr>
        <w:pStyle w:val="5"/>
        <w:ind w:left="0"/>
        <w:rPr>
          <w:sz w:val="42"/>
        </w:rPr>
      </w:pPr>
    </w:p>
    <w:p w14:paraId="67E0577C">
      <w:pPr>
        <w:pStyle w:val="5"/>
        <w:ind w:left="0"/>
        <w:rPr>
          <w:sz w:val="42"/>
        </w:rPr>
      </w:pPr>
    </w:p>
    <w:p w14:paraId="24892DC7">
      <w:pPr>
        <w:pStyle w:val="5"/>
        <w:ind w:left="0"/>
        <w:rPr>
          <w:sz w:val="42"/>
        </w:rPr>
      </w:pPr>
    </w:p>
    <w:p w14:paraId="3DADFD31">
      <w:pPr>
        <w:pStyle w:val="5"/>
        <w:ind w:left="0"/>
        <w:rPr>
          <w:sz w:val="42"/>
        </w:rPr>
      </w:pPr>
    </w:p>
    <w:p w14:paraId="56D708BB">
      <w:pPr>
        <w:pStyle w:val="5"/>
        <w:ind w:left="0"/>
        <w:rPr>
          <w:sz w:val="42"/>
        </w:rPr>
      </w:pPr>
    </w:p>
    <w:p w14:paraId="1276D629">
      <w:pPr>
        <w:pStyle w:val="5"/>
        <w:ind w:left="0"/>
        <w:rPr>
          <w:sz w:val="42"/>
        </w:rPr>
      </w:pPr>
    </w:p>
    <w:p w14:paraId="7402AFC5">
      <w:pPr>
        <w:pStyle w:val="5"/>
        <w:ind w:left="0"/>
        <w:rPr>
          <w:sz w:val="42"/>
        </w:rPr>
      </w:pPr>
    </w:p>
    <w:p w14:paraId="261E0058">
      <w:pPr>
        <w:pStyle w:val="5"/>
        <w:ind w:left="0"/>
        <w:rPr>
          <w:sz w:val="42"/>
        </w:rPr>
      </w:pPr>
    </w:p>
    <w:p w14:paraId="67FFF979">
      <w:pPr>
        <w:pStyle w:val="5"/>
        <w:ind w:left="0"/>
        <w:rPr>
          <w:sz w:val="42"/>
        </w:rPr>
      </w:pPr>
    </w:p>
    <w:p w14:paraId="62127810">
      <w:pPr>
        <w:pStyle w:val="5"/>
        <w:ind w:left="0"/>
        <w:rPr>
          <w:sz w:val="42"/>
        </w:rPr>
      </w:pPr>
    </w:p>
    <w:p w14:paraId="7994E73C">
      <w:pPr>
        <w:pStyle w:val="5"/>
        <w:ind w:left="0"/>
        <w:rPr>
          <w:sz w:val="42"/>
        </w:rPr>
      </w:pPr>
    </w:p>
    <w:p w14:paraId="6077D870">
      <w:pPr>
        <w:pStyle w:val="5"/>
        <w:ind w:left="0"/>
        <w:rPr>
          <w:sz w:val="42"/>
        </w:rPr>
      </w:pPr>
    </w:p>
    <w:p w14:paraId="70B73366">
      <w:pPr>
        <w:pStyle w:val="5"/>
        <w:ind w:left="0"/>
        <w:jc w:val="center"/>
        <w:rPr>
          <w:sz w:val="42"/>
        </w:rPr>
      </w:pPr>
      <w:r>
        <w:rPr>
          <w:rFonts w:hint="eastAsia"/>
          <w:sz w:val="42"/>
        </w:rPr>
        <w:t>规范起草组</w:t>
      </w:r>
    </w:p>
    <w:p w14:paraId="75385FB8">
      <w:pPr>
        <w:pStyle w:val="9"/>
        <w:rPr>
          <w:rFonts w:ascii="Times New Roman"/>
        </w:rPr>
      </w:pPr>
      <w:r>
        <w:rPr>
          <w:rFonts w:ascii="Times New Roman"/>
        </w:rPr>
        <w:t>20</w:t>
      </w:r>
      <w:r>
        <w:rPr>
          <w:rFonts w:hint="eastAsia" w:ascii="Times New Roman"/>
          <w:lang w:val="en-US" w:eastAsia="zh-CN"/>
        </w:rPr>
        <w:t>26</w:t>
      </w:r>
      <w:r>
        <w:rPr>
          <w:rFonts w:hint="eastAsia" w:ascii="Times New Roman"/>
        </w:rPr>
        <w:t>年0</w:t>
      </w:r>
      <w:r>
        <w:rPr>
          <w:rFonts w:hint="eastAsia" w:ascii="Times New Roman"/>
          <w:lang w:val="en-US" w:eastAsia="zh-CN"/>
        </w:rPr>
        <w:t>5</w:t>
      </w:r>
      <w:r>
        <w:rPr>
          <w:rFonts w:hint="eastAsia" w:ascii="Times New Roman"/>
        </w:rPr>
        <w:t>月</w:t>
      </w:r>
    </w:p>
    <w:p w14:paraId="0EBCFB4D">
      <w:pPr>
        <w:rPr>
          <w:rFonts w:ascii="Times New Roman"/>
        </w:rPr>
        <w:sectPr>
          <w:footerReference r:id="rId3" w:type="default"/>
          <w:type w:val="continuous"/>
          <w:pgSz w:w="11910" w:h="16840"/>
          <w:pgMar w:top="1580" w:right="1580" w:bottom="1380" w:left="1680" w:header="720" w:footer="1193" w:gutter="0"/>
          <w:pgNumType w:start="1"/>
          <w:cols w:space="720" w:num="1"/>
        </w:sectPr>
      </w:pPr>
    </w:p>
    <w:p w14:paraId="4850DE78">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eastAsia="黑体"/>
          <w:sz w:val="28"/>
          <w:szCs w:val="28"/>
        </w:rPr>
      </w:pPr>
      <w:r>
        <w:rPr>
          <w:rFonts w:eastAsia="黑体"/>
          <w:sz w:val="28"/>
          <w:szCs w:val="28"/>
        </w:rPr>
        <w:t>一、任务来源及背景</w:t>
      </w:r>
    </w:p>
    <w:p w14:paraId="7931E4E2">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kern w:val="0"/>
          <w:sz w:val="28"/>
          <w:szCs w:val="28"/>
        </w:rPr>
      </w:pPr>
      <w:r>
        <w:rPr>
          <w:kern w:val="0"/>
          <w:sz w:val="28"/>
          <w:szCs w:val="28"/>
        </w:rPr>
        <w:t>1.1 任务来源</w:t>
      </w:r>
    </w:p>
    <w:p w14:paraId="6859CD11">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rPr>
      </w:pPr>
      <w:r>
        <w:rPr>
          <w:rFonts w:hint="eastAsia"/>
          <w:sz w:val="24"/>
          <w:szCs w:val="24"/>
          <w:highlight w:val="none"/>
        </w:rPr>
        <w:t>国家市场监督管理局市监计量发〔</w:t>
      </w:r>
      <w:r>
        <w:rPr>
          <w:sz w:val="24"/>
          <w:szCs w:val="24"/>
          <w:highlight w:val="none"/>
        </w:rPr>
        <w:t>202</w:t>
      </w:r>
      <w:r>
        <w:rPr>
          <w:rFonts w:hint="eastAsia"/>
          <w:sz w:val="24"/>
          <w:szCs w:val="24"/>
          <w:highlight w:val="none"/>
          <w:lang w:val="en-US" w:eastAsia="zh-CN"/>
        </w:rPr>
        <w:t>5</w:t>
      </w:r>
      <w:r>
        <w:rPr>
          <w:sz w:val="24"/>
          <w:szCs w:val="24"/>
          <w:highlight w:val="none"/>
        </w:rPr>
        <w:t>〕</w:t>
      </w:r>
      <w:r>
        <w:rPr>
          <w:rFonts w:hint="eastAsia"/>
          <w:sz w:val="24"/>
          <w:szCs w:val="24"/>
          <w:highlight w:val="none"/>
          <w:lang w:val="en-US" w:eastAsia="zh-CN"/>
        </w:rPr>
        <w:t>45</w:t>
      </w:r>
      <w:r>
        <w:rPr>
          <w:sz w:val="24"/>
          <w:szCs w:val="24"/>
          <w:highlight w:val="none"/>
        </w:rPr>
        <w:t xml:space="preserve"> 号文件下达了《</w:t>
      </w:r>
      <w:r>
        <w:rPr>
          <w:rFonts w:hint="eastAsia"/>
          <w:sz w:val="24"/>
          <w:szCs w:val="24"/>
          <w:highlight w:val="none"/>
          <w:lang w:val="en-US" w:eastAsia="zh-CN"/>
        </w:rPr>
        <w:t>温度数据采集仪校准规范</w:t>
      </w:r>
      <w:r>
        <w:rPr>
          <w:sz w:val="24"/>
          <w:szCs w:val="24"/>
          <w:highlight w:val="none"/>
        </w:rPr>
        <w:t>》</w:t>
      </w:r>
      <w:r>
        <w:rPr>
          <w:rFonts w:hint="eastAsia"/>
          <w:sz w:val="24"/>
          <w:szCs w:val="24"/>
          <w:highlight w:val="none"/>
          <w:lang w:val="en-US" w:eastAsia="zh-CN"/>
        </w:rPr>
        <w:t>修订</w:t>
      </w:r>
      <w:r>
        <w:rPr>
          <w:sz w:val="24"/>
          <w:szCs w:val="24"/>
          <w:highlight w:val="none"/>
        </w:rPr>
        <w:t>任务，计划项目号：MTC12-202</w:t>
      </w:r>
      <w:r>
        <w:rPr>
          <w:rFonts w:hint="eastAsia"/>
          <w:sz w:val="24"/>
          <w:szCs w:val="24"/>
          <w:highlight w:val="none"/>
          <w:lang w:val="en-US" w:eastAsia="zh-CN"/>
        </w:rPr>
        <w:t>5</w:t>
      </w:r>
      <w:r>
        <w:rPr>
          <w:sz w:val="24"/>
          <w:szCs w:val="24"/>
          <w:highlight w:val="none"/>
        </w:rPr>
        <w:t>-0</w:t>
      </w:r>
      <w:r>
        <w:rPr>
          <w:rFonts w:hint="eastAsia"/>
          <w:sz w:val="24"/>
          <w:szCs w:val="24"/>
          <w:highlight w:val="none"/>
          <w:lang w:val="en-US" w:eastAsia="zh-CN"/>
        </w:rPr>
        <w:t>2</w:t>
      </w:r>
      <w:r>
        <w:rPr>
          <w:rFonts w:hint="eastAsia"/>
          <w:sz w:val="24"/>
          <w:szCs w:val="24"/>
          <w:highlight w:val="none"/>
        </w:rPr>
        <w:t>。该任务于2</w:t>
      </w:r>
      <w:r>
        <w:rPr>
          <w:sz w:val="24"/>
          <w:szCs w:val="24"/>
          <w:highlight w:val="none"/>
        </w:rPr>
        <w:t>02</w:t>
      </w:r>
      <w:r>
        <w:rPr>
          <w:rFonts w:hint="eastAsia"/>
          <w:sz w:val="24"/>
          <w:szCs w:val="24"/>
          <w:highlight w:val="none"/>
          <w:lang w:val="en-US" w:eastAsia="zh-CN"/>
        </w:rPr>
        <w:t>5</w:t>
      </w:r>
      <w:r>
        <w:rPr>
          <w:rFonts w:hint="eastAsia"/>
          <w:sz w:val="24"/>
          <w:szCs w:val="24"/>
          <w:highlight w:val="none"/>
        </w:rPr>
        <w:t>年</w:t>
      </w:r>
      <w:r>
        <w:rPr>
          <w:rFonts w:hint="eastAsia"/>
          <w:sz w:val="24"/>
          <w:szCs w:val="24"/>
          <w:highlight w:val="none"/>
          <w:lang w:val="en-US" w:eastAsia="zh-CN"/>
        </w:rPr>
        <w:t>5</w:t>
      </w:r>
      <w:r>
        <w:rPr>
          <w:rFonts w:hint="eastAsia"/>
          <w:sz w:val="24"/>
          <w:szCs w:val="24"/>
          <w:highlight w:val="none"/>
        </w:rPr>
        <w:t>月份立项，</w:t>
      </w:r>
      <w:r>
        <w:rPr>
          <w:rFonts w:hint="eastAsia"/>
          <w:sz w:val="24"/>
          <w:szCs w:val="24"/>
        </w:rPr>
        <w:t>由浙江</w:t>
      </w:r>
      <w:r>
        <w:rPr>
          <w:rFonts w:hint="eastAsia"/>
          <w:sz w:val="24"/>
          <w:szCs w:val="24"/>
          <w:highlight w:val="none"/>
        </w:rPr>
        <w:t>省</w:t>
      </w:r>
      <w:r>
        <w:rPr>
          <w:rFonts w:hint="eastAsia"/>
          <w:sz w:val="24"/>
          <w:szCs w:val="24"/>
          <w:highlight w:val="none"/>
          <w:lang w:val="en-US" w:eastAsia="zh-CN"/>
        </w:rPr>
        <w:t>质量</w:t>
      </w:r>
      <w:r>
        <w:rPr>
          <w:rFonts w:hint="eastAsia"/>
          <w:sz w:val="24"/>
          <w:szCs w:val="24"/>
          <w:highlight w:val="none"/>
        </w:rPr>
        <w:t>科学研究院</w:t>
      </w:r>
      <w:r>
        <w:rPr>
          <w:rFonts w:hint="eastAsia"/>
          <w:sz w:val="24"/>
          <w:szCs w:val="24"/>
          <w:highlight w:val="none"/>
          <w:lang w:eastAsia="zh-CN"/>
        </w:rPr>
        <w:t>、</w:t>
      </w:r>
      <w:r>
        <w:rPr>
          <w:rFonts w:hint="eastAsia"/>
          <w:sz w:val="24"/>
          <w:szCs w:val="24"/>
          <w:highlight w:val="none"/>
        </w:rPr>
        <w:t>上海市计量测试技术研究院有限公司</w:t>
      </w:r>
      <w:r>
        <w:rPr>
          <w:rFonts w:hint="eastAsia"/>
          <w:sz w:val="24"/>
          <w:szCs w:val="24"/>
          <w:highlight w:val="none"/>
          <w:lang w:eastAsia="zh-CN"/>
        </w:rPr>
        <w:t>、</w:t>
      </w:r>
      <w:r>
        <w:rPr>
          <w:rFonts w:hint="eastAsia"/>
          <w:sz w:val="24"/>
          <w:szCs w:val="24"/>
          <w:highlight w:val="none"/>
          <w:lang w:val="en-US" w:eastAsia="zh-CN"/>
        </w:rPr>
        <w:t>广东</w:t>
      </w:r>
      <w:r>
        <w:rPr>
          <w:rFonts w:hint="eastAsia"/>
          <w:sz w:val="24"/>
          <w:szCs w:val="24"/>
          <w:highlight w:val="none"/>
        </w:rPr>
        <w:t>省计量科学研究院</w:t>
      </w:r>
      <w:r>
        <w:rPr>
          <w:rFonts w:hint="eastAsia"/>
          <w:sz w:val="24"/>
          <w:szCs w:val="24"/>
          <w:highlight w:val="none"/>
          <w:lang w:eastAsia="zh-CN"/>
        </w:rPr>
        <w:t>、</w:t>
      </w:r>
      <w:r>
        <w:rPr>
          <w:rFonts w:hint="eastAsia"/>
          <w:sz w:val="24"/>
          <w:szCs w:val="24"/>
          <w:highlight w:val="none"/>
          <w:lang w:val="en-US" w:eastAsia="zh-CN"/>
        </w:rPr>
        <w:t>福建省计量科学研究院</w:t>
      </w:r>
      <w:r>
        <w:rPr>
          <w:rFonts w:hint="eastAsia"/>
          <w:sz w:val="24"/>
          <w:szCs w:val="24"/>
          <w:highlight w:val="none"/>
          <w:lang w:eastAsia="zh-CN"/>
        </w:rPr>
        <w:t>、</w:t>
      </w:r>
      <w:r>
        <w:rPr>
          <w:rFonts w:hint="eastAsia"/>
          <w:sz w:val="24"/>
          <w:szCs w:val="24"/>
          <w:highlight w:val="none"/>
          <w:lang w:val="en-US" w:eastAsia="zh-CN"/>
        </w:rPr>
        <w:t>山东磐然仪器集团有限公司</w:t>
      </w:r>
      <w:r>
        <w:rPr>
          <w:rFonts w:hint="eastAsia"/>
          <w:sz w:val="24"/>
          <w:szCs w:val="24"/>
          <w:highlight w:val="none"/>
          <w:lang w:eastAsia="zh-CN"/>
        </w:rPr>
        <w:t>、</w:t>
      </w:r>
      <w:r>
        <w:rPr>
          <w:rFonts w:hint="eastAsia"/>
          <w:sz w:val="24"/>
          <w:szCs w:val="24"/>
          <w:highlight w:val="none"/>
          <w:lang w:val="en-US" w:eastAsia="zh-CN"/>
        </w:rPr>
        <w:t>湖州唯立科技仪表有限公司等单位</w:t>
      </w:r>
      <w:r>
        <w:rPr>
          <w:rFonts w:hint="eastAsia"/>
          <w:sz w:val="24"/>
          <w:szCs w:val="24"/>
          <w:highlight w:val="none"/>
        </w:rPr>
        <w:t>共同承担起草工作。</w:t>
      </w:r>
    </w:p>
    <w:p w14:paraId="0EF56B09">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kern w:val="0"/>
          <w:sz w:val="28"/>
          <w:szCs w:val="28"/>
        </w:rPr>
      </w:pPr>
      <w:r>
        <w:rPr>
          <w:kern w:val="0"/>
          <w:sz w:val="28"/>
          <w:szCs w:val="28"/>
        </w:rPr>
        <w:t xml:space="preserve">1.2 </w:t>
      </w:r>
      <w:r>
        <w:rPr>
          <w:rFonts w:hint="eastAsia"/>
          <w:kern w:val="0"/>
          <w:sz w:val="28"/>
          <w:szCs w:val="28"/>
        </w:rPr>
        <w:t>制定背景</w:t>
      </w:r>
    </w:p>
    <w:p w14:paraId="5121DC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仿宋" w:hAnsi="仿宋" w:eastAsia="仿宋" w:cs="仿宋"/>
          <w:b/>
          <w:bCs/>
          <w:kern w:val="0"/>
          <w:sz w:val="28"/>
          <w:szCs w:val="28"/>
          <w:lang w:val="en-US" w:eastAsia="zh-CN"/>
        </w:rPr>
      </w:pPr>
      <w:r>
        <w:rPr>
          <w:rFonts w:hint="eastAsia" w:ascii="仿宋" w:hAnsi="仿宋" w:eastAsia="仿宋" w:cs="仿宋"/>
          <w:b/>
          <w:bCs/>
          <w:kern w:val="0"/>
          <w:sz w:val="28"/>
          <w:szCs w:val="28"/>
          <w:lang w:val="en-US" w:eastAsia="zh-CN"/>
        </w:rPr>
        <w:t>1.2.1 温度数据采集仪发展趋势</w:t>
      </w:r>
    </w:p>
    <w:p w14:paraId="2962A4DE">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国家校准规范JJF 1366-2012《温度数据采集仪校准规范》于2012年10月发布，2023年1月份实施。在实施后的12年时间里，随着温度采集、记录技术的不断进步与发展，温度数据采集仪（以下简称采集仪）不仅在测温范围、测温准确度等方面有了更大的提升，同时，还具有外型小巧、结构简单、操作方便、无线通讯等诸多优点，使其应用场景越来越广。近几年，采集仪主要有以下几个发展趋势：</w:t>
      </w:r>
    </w:p>
    <w:p w14:paraId="6850B839">
      <w:pPr>
        <w:keepNext w:val="0"/>
        <w:keepLines w:val="0"/>
        <w:pageBreakBefore w:val="0"/>
        <w:widowControl w:val="0"/>
        <w:numPr>
          <w:ilvl w:val="0"/>
          <w:numId w:val="1"/>
        </w:numPr>
        <w:tabs>
          <w:tab w:val="left" w:pos="1080"/>
        </w:tabs>
        <w:kinsoku/>
        <w:wordWrap/>
        <w:overflowPunct/>
        <w:topLinePunct w:val="0"/>
        <w:autoSpaceDE/>
        <w:autoSpaceDN/>
        <w:bidi w:val="0"/>
        <w:adjustRightInd/>
        <w:snapToGrid/>
        <w:spacing w:line="300" w:lineRule="auto"/>
        <w:ind w:left="0" w:leftChars="0" w:right="0" w:rightChars="0" w:firstLine="482" w:firstLineChars="200"/>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应用场景越来越多</w:t>
      </w:r>
    </w:p>
    <w:p w14:paraId="5D88471D">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随着科学技术的发展，采集仪有了更广阔的应用场景，比如在恒温实验室、药厂、冷链运输等领域，采集仪广泛地应用在监测、记录、存储以及追踪实时温度；在计量技术机构，采集仪广泛地应用于校准恒温设备，比如大空间恒温实验室、恒温箱等；尤其是在一些高端技术领域，比如芯片制造、集成电路、生物制药（疫苗）、海洋温度监测等行业，采集仪得到了更大的应用场景，逐渐衍生出采集仪标签、薄膜式采集仪等等。</w:t>
      </w:r>
    </w:p>
    <w:p w14:paraId="516D0FC1">
      <w:pPr>
        <w:keepNext w:val="0"/>
        <w:keepLines w:val="0"/>
        <w:pageBreakBefore w:val="0"/>
        <w:widowControl w:val="0"/>
        <w:numPr>
          <w:ilvl w:val="0"/>
          <w:numId w:val="1"/>
        </w:numPr>
        <w:tabs>
          <w:tab w:val="left" w:pos="1080"/>
        </w:tabs>
        <w:kinsoku/>
        <w:wordWrap/>
        <w:overflowPunct/>
        <w:topLinePunct w:val="0"/>
        <w:autoSpaceDE/>
        <w:autoSpaceDN/>
        <w:bidi w:val="0"/>
        <w:adjustRightInd/>
        <w:snapToGrid/>
        <w:spacing w:line="300" w:lineRule="auto"/>
        <w:ind w:left="0" w:leftChars="0" w:right="0" w:rightChars="0" w:firstLine="482" w:firstLineChars="200"/>
        <w:textAlignment w:val="auto"/>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测温准确度越来越高</w:t>
      </w:r>
    </w:p>
    <w:p w14:paraId="3914BF34">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在集成电路、海洋温度监测等高端领域，为合理准确地得到精准的实验数据，对于恒温温场的控制和测量也提出了更高的指标，比如常温（18℃～ 28℃）恒温恒湿实验室建设过程中，温度偏差的控制要求达到了0.1℃～0.2℃，甚至有了0.05℃的更高要求，因此要求应用在相关领域的采集仪具有更高的准确度，同时也对采集仪的量值溯源提出了更苛刻的要求。目前，生产这类采集仪的厂家很多，为满足高端市场的迫切需求，设备厂商也开展大量的技术研究，应用在采集仪自身的技术指标也越来越高。</w:t>
      </w:r>
    </w:p>
    <w:p w14:paraId="787EB665">
      <w:pPr>
        <w:keepNext w:val="0"/>
        <w:keepLines w:val="0"/>
        <w:pageBreakBefore w:val="0"/>
        <w:widowControl w:val="0"/>
        <w:numPr>
          <w:ilvl w:val="0"/>
          <w:numId w:val="1"/>
        </w:numPr>
        <w:tabs>
          <w:tab w:val="left" w:pos="1080"/>
        </w:tabs>
        <w:kinsoku/>
        <w:wordWrap/>
        <w:overflowPunct/>
        <w:topLinePunct w:val="0"/>
        <w:autoSpaceDE/>
        <w:autoSpaceDN/>
        <w:bidi w:val="0"/>
        <w:adjustRightInd/>
        <w:snapToGrid/>
        <w:spacing w:line="300" w:lineRule="auto"/>
        <w:ind w:left="0" w:leftChars="0" w:right="0" w:rightChars="0" w:firstLine="482" w:firstLineChars="200"/>
        <w:textAlignment w:val="auto"/>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测温范围越来越广</w:t>
      </w:r>
    </w:p>
    <w:p w14:paraId="0BE90BA7">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在先端医疗、国防军工、生物制药（疫苗）等战略领域采集仪也有了很大的应用场景，对采集仪的测温范围提出了更广的使用需求，比如在低温保存领域，低温保存箱的最低工作温度已低至-80℃，甚至更低至-100℃，校准此类低温保存箱，只能采用无线采集仪，部分生产厂家已采用低功耗的专用电池、超低温环境下无线发射技术以及高性能保温材料技术，已研制成功-90℃下可连续工作72h以上的无线采集仪。</w:t>
      </w:r>
    </w:p>
    <w:p w14:paraId="46F43868">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近几年，在量子计算、低温超导、超导量子芯片等领域，我国各大高校正开展着更为高端技术研究，对采集仪的应用场景提出了更高的挑战。</w:t>
      </w:r>
    </w:p>
    <w:p w14:paraId="1FA32B7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仿宋" w:hAnsi="仿宋" w:eastAsia="仿宋" w:cs="仿宋"/>
          <w:b/>
          <w:bCs/>
          <w:kern w:val="0"/>
          <w:sz w:val="28"/>
          <w:szCs w:val="28"/>
          <w:lang w:val="en-US" w:eastAsia="zh-CN"/>
        </w:rPr>
      </w:pPr>
      <w:r>
        <w:rPr>
          <w:rFonts w:hint="eastAsia" w:ascii="仿宋" w:hAnsi="仿宋" w:eastAsia="仿宋" w:cs="仿宋"/>
          <w:b/>
          <w:bCs/>
          <w:kern w:val="0"/>
          <w:sz w:val="28"/>
          <w:szCs w:val="28"/>
          <w:lang w:val="en-US" w:eastAsia="zh-CN"/>
        </w:rPr>
        <w:t>1.2.2 JJF 1366-2012专用恒温箱技术问题</w:t>
      </w:r>
    </w:p>
    <w:p w14:paraId="28A11413">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JJF 1366-2012《温度数据采集仪校准规范》实施后，虽然各省市级计量技术机构依据此规范基本建立了校准能力，但是在校准过程中，针对必须采用空气浴进行校准的采集仪，依然存在比较大的问题。该问题主要体现在以下几个方面：</w:t>
      </w:r>
    </w:p>
    <w:p w14:paraId="5BEE91AB">
      <w:pPr>
        <w:keepNext w:val="0"/>
        <w:keepLines w:val="0"/>
        <w:pageBreakBefore w:val="0"/>
        <w:widowControl w:val="0"/>
        <w:numPr>
          <w:ilvl w:val="0"/>
          <w:numId w:val="2"/>
        </w:numPr>
        <w:tabs>
          <w:tab w:val="left" w:pos="1080"/>
        </w:tabs>
        <w:kinsoku/>
        <w:wordWrap/>
        <w:overflowPunct/>
        <w:topLinePunct w:val="0"/>
        <w:autoSpaceDE/>
        <w:autoSpaceDN/>
        <w:bidi w:val="0"/>
        <w:adjustRightInd/>
        <w:snapToGrid/>
        <w:spacing w:line="300" w:lineRule="auto"/>
        <w:ind w:left="0" w:leftChars="0" w:right="0" w:rightChars="0" w:firstLine="482" w:firstLineChars="200"/>
        <w:textAlignment w:val="auto"/>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专用恒温箱的技术指标过高</w:t>
      </w:r>
    </w:p>
    <w:p w14:paraId="6129392C">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default"/>
          <w:sz w:val="24"/>
          <w:szCs w:val="24"/>
          <w:highlight w:val="none"/>
          <w:lang w:val="en-US" w:eastAsia="zh-CN"/>
        </w:rPr>
        <w:t>JJF 1366-2012校准规范6.3“测量标准及其他设备”中，对校准用恒温设备的明确要求见表1。</w:t>
      </w:r>
    </w:p>
    <w:p w14:paraId="05F38D8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表1 校准用恒温设备的要求</w:t>
      </w:r>
    </w:p>
    <w:tbl>
      <w:tblPr>
        <w:tblStyle w:val="11"/>
        <w:tblW w:w="80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6"/>
        <w:gridCol w:w="3690"/>
        <w:gridCol w:w="930"/>
        <w:gridCol w:w="1780"/>
      </w:tblGrid>
      <w:tr w14:paraId="1748E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636" w:type="dxa"/>
            <w:noWrap w:val="0"/>
            <w:vAlign w:val="center"/>
          </w:tcPr>
          <w:p w14:paraId="2D9AD91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测量设备名称</w:t>
            </w:r>
          </w:p>
        </w:tc>
        <w:tc>
          <w:tcPr>
            <w:tcW w:w="3690" w:type="dxa"/>
            <w:noWrap w:val="0"/>
            <w:vAlign w:val="center"/>
          </w:tcPr>
          <w:p w14:paraId="1556FA4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技术要求</w:t>
            </w:r>
          </w:p>
        </w:tc>
        <w:tc>
          <w:tcPr>
            <w:tcW w:w="930" w:type="dxa"/>
            <w:noWrap w:val="0"/>
            <w:vAlign w:val="center"/>
          </w:tcPr>
          <w:p w14:paraId="6231ACA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用途</w:t>
            </w:r>
          </w:p>
        </w:tc>
        <w:tc>
          <w:tcPr>
            <w:tcW w:w="1780" w:type="dxa"/>
            <w:noWrap w:val="0"/>
            <w:vAlign w:val="center"/>
          </w:tcPr>
          <w:p w14:paraId="4F19604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备注</w:t>
            </w:r>
          </w:p>
        </w:tc>
      </w:tr>
      <w:tr w14:paraId="745B0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jc w:val="center"/>
        </w:trPr>
        <w:tc>
          <w:tcPr>
            <w:tcW w:w="1636" w:type="dxa"/>
            <w:vMerge w:val="restart"/>
            <w:noWrap w:val="0"/>
            <w:vAlign w:val="center"/>
          </w:tcPr>
          <w:p w14:paraId="0F9B1DC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恒温设备</w:t>
            </w:r>
          </w:p>
        </w:tc>
        <w:tc>
          <w:tcPr>
            <w:tcW w:w="3690" w:type="dxa"/>
            <w:noWrap w:val="0"/>
            <w:vAlign w:val="center"/>
          </w:tcPr>
          <w:p w14:paraId="24E6366C">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恒温槽：</w:t>
            </w:r>
          </w:p>
          <w:p w14:paraId="1525AD83">
            <w:pPr>
              <w:keepNext w:val="0"/>
              <w:keepLines w:val="0"/>
              <w:pageBreakBefore w:val="0"/>
              <w:widowControl w:val="0"/>
              <w:kinsoku/>
              <w:wordWrap/>
              <w:overflowPunct/>
              <w:topLinePunct w:val="0"/>
              <w:autoSpaceDE/>
              <w:autoSpaceDN/>
              <w:bidi w:val="0"/>
              <w:adjustRightInd w:val="0"/>
              <w:snapToGrid w:val="0"/>
              <w:ind w:firstLine="210" w:firstLineChars="100"/>
              <w:jc w:val="both"/>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温度均匀性不超过0.01℃</w:t>
            </w:r>
          </w:p>
          <w:p w14:paraId="36B443E7">
            <w:pPr>
              <w:keepNext w:val="0"/>
              <w:keepLines w:val="0"/>
              <w:pageBreakBefore w:val="0"/>
              <w:widowControl w:val="0"/>
              <w:kinsoku/>
              <w:wordWrap/>
              <w:overflowPunct/>
              <w:topLinePunct w:val="0"/>
              <w:autoSpaceDE/>
              <w:autoSpaceDN/>
              <w:bidi w:val="0"/>
              <w:adjustRightInd w:val="0"/>
              <w:snapToGrid w:val="0"/>
              <w:ind w:firstLine="210" w:firstLineChars="100"/>
              <w:jc w:val="both"/>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温度波动性不超过0.02℃/10min</w:t>
            </w:r>
          </w:p>
        </w:tc>
        <w:tc>
          <w:tcPr>
            <w:tcW w:w="930" w:type="dxa"/>
            <w:vMerge w:val="restart"/>
            <w:noWrap w:val="0"/>
            <w:vAlign w:val="center"/>
          </w:tcPr>
          <w:p w14:paraId="1CB12DB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提供恒定温度源</w:t>
            </w:r>
          </w:p>
        </w:tc>
        <w:tc>
          <w:tcPr>
            <w:tcW w:w="1780" w:type="dxa"/>
            <w:vMerge w:val="restart"/>
            <w:noWrap w:val="0"/>
            <w:vAlign w:val="center"/>
          </w:tcPr>
          <w:p w14:paraId="2DA8D656">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恒温槽、恒温箱技术指标的表述及测量分别按照JJF 1030-2010和JJF 1101-2003的规定</w:t>
            </w:r>
          </w:p>
        </w:tc>
      </w:tr>
      <w:tr w14:paraId="2CF68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1636" w:type="dxa"/>
            <w:vMerge w:val="continue"/>
            <w:noWrap w:val="0"/>
            <w:vAlign w:val="top"/>
          </w:tcPr>
          <w:p w14:paraId="56EB112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仿宋"/>
                <w:sz w:val="21"/>
                <w:szCs w:val="21"/>
                <w:vertAlign w:val="baseline"/>
                <w:lang w:val="en-US" w:eastAsia="zh-CN"/>
              </w:rPr>
            </w:pPr>
          </w:p>
        </w:tc>
        <w:tc>
          <w:tcPr>
            <w:tcW w:w="3690" w:type="dxa"/>
            <w:noWrap w:val="0"/>
            <w:vAlign w:val="center"/>
          </w:tcPr>
          <w:p w14:paraId="65E9F923">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专用恒温箱：</w:t>
            </w:r>
          </w:p>
          <w:p w14:paraId="1E863CEC">
            <w:pPr>
              <w:keepNext w:val="0"/>
              <w:keepLines w:val="0"/>
              <w:pageBreakBefore w:val="0"/>
              <w:widowControl w:val="0"/>
              <w:kinsoku/>
              <w:wordWrap/>
              <w:overflowPunct/>
              <w:topLinePunct w:val="0"/>
              <w:autoSpaceDE/>
              <w:autoSpaceDN/>
              <w:bidi w:val="0"/>
              <w:adjustRightInd w:val="0"/>
              <w:snapToGrid w:val="0"/>
              <w:ind w:firstLine="210" w:firstLineChars="100"/>
              <w:jc w:val="both"/>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温度范围为（-50~+150）℃</w:t>
            </w:r>
          </w:p>
          <w:p w14:paraId="6027ECCA">
            <w:pPr>
              <w:keepNext w:val="0"/>
              <w:keepLines w:val="0"/>
              <w:pageBreakBefore w:val="0"/>
              <w:widowControl w:val="0"/>
              <w:kinsoku/>
              <w:wordWrap/>
              <w:overflowPunct/>
              <w:topLinePunct w:val="0"/>
              <w:autoSpaceDE/>
              <w:autoSpaceDN/>
              <w:bidi w:val="0"/>
              <w:adjustRightInd w:val="0"/>
              <w:snapToGrid w:val="0"/>
              <w:ind w:firstLine="210" w:firstLineChars="100"/>
              <w:jc w:val="both"/>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温度均匀度不超过0.05℃</w:t>
            </w:r>
          </w:p>
          <w:p w14:paraId="37F533A3">
            <w:pPr>
              <w:keepNext w:val="0"/>
              <w:keepLines w:val="0"/>
              <w:pageBreakBefore w:val="0"/>
              <w:widowControl w:val="0"/>
              <w:kinsoku/>
              <w:wordWrap/>
              <w:overflowPunct/>
              <w:topLinePunct w:val="0"/>
              <w:autoSpaceDE/>
              <w:autoSpaceDN/>
              <w:bidi w:val="0"/>
              <w:adjustRightInd w:val="0"/>
              <w:snapToGrid w:val="0"/>
              <w:ind w:firstLine="210" w:firstLineChars="100"/>
              <w:jc w:val="both"/>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温度波动度不超过±0.02℃/10min</w:t>
            </w:r>
          </w:p>
        </w:tc>
        <w:tc>
          <w:tcPr>
            <w:tcW w:w="930" w:type="dxa"/>
            <w:vMerge w:val="continue"/>
            <w:noWrap w:val="0"/>
            <w:vAlign w:val="top"/>
          </w:tcPr>
          <w:p w14:paraId="6A6E603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仿宋"/>
                <w:sz w:val="21"/>
                <w:szCs w:val="21"/>
                <w:vertAlign w:val="baseline"/>
                <w:lang w:val="en-US" w:eastAsia="zh-CN"/>
              </w:rPr>
            </w:pPr>
          </w:p>
        </w:tc>
        <w:tc>
          <w:tcPr>
            <w:tcW w:w="1780" w:type="dxa"/>
            <w:vMerge w:val="continue"/>
            <w:noWrap w:val="0"/>
            <w:vAlign w:val="top"/>
          </w:tcPr>
          <w:p w14:paraId="259F2D1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仿宋"/>
                <w:sz w:val="21"/>
                <w:szCs w:val="21"/>
                <w:vertAlign w:val="baseline"/>
                <w:lang w:val="en-US" w:eastAsia="zh-CN"/>
              </w:rPr>
            </w:pPr>
          </w:p>
        </w:tc>
      </w:tr>
    </w:tbl>
    <w:p w14:paraId="4AEA042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sz w:val="18"/>
          <w:szCs w:val="18"/>
          <w:lang w:val="en-US" w:eastAsia="zh-CN"/>
        </w:rPr>
      </w:pPr>
    </w:p>
    <w:p w14:paraId="20FCD7A0">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校准规范发布实施后，为满足规范中专用恒温箱的技术要求，众多企业、高校、技术机构致力于高精度温度箱的研发生产。济南长峰致远仪表科技有限公司、杭州雪中炭恒温技术有限公司、苏州市计量测试所等率先研发并生产高精度温度箱，截至目前，主要的生产厂家有湖州唯立仪表科技有限公司、工业和信息化部电子第五研究所/广州赛宝计量检测中心服务有限公司以及康斯特仪表科技有限公司。综合分析各家恒温箱技术性能，并不能达到使用要求。</w:t>
      </w:r>
    </w:p>
    <w:p w14:paraId="2BFCA30D">
      <w:pPr>
        <w:keepNext w:val="0"/>
        <w:keepLines w:val="0"/>
        <w:pageBreakBefore w:val="0"/>
        <w:widowControl w:val="0"/>
        <w:numPr>
          <w:ilvl w:val="0"/>
          <w:numId w:val="2"/>
        </w:numPr>
        <w:tabs>
          <w:tab w:val="left" w:pos="1080"/>
        </w:tabs>
        <w:kinsoku/>
        <w:wordWrap/>
        <w:overflowPunct/>
        <w:topLinePunct w:val="0"/>
        <w:autoSpaceDE/>
        <w:autoSpaceDN/>
        <w:bidi w:val="0"/>
        <w:adjustRightInd/>
        <w:snapToGrid/>
        <w:spacing w:line="300" w:lineRule="auto"/>
        <w:ind w:left="0" w:leftChars="0" w:right="0" w:rightChars="0" w:firstLine="482" w:firstLineChars="200"/>
        <w:textAlignment w:val="auto"/>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专用恒温箱的溯源方法缺失</w:t>
      </w:r>
    </w:p>
    <w:p w14:paraId="0B7DC320">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目前，对专用恒温箱的校准，大多数计量技术机构普遍采用JJF 1101-2019和JJF 1564-2016。据不完全调研统计，在开展该项目校准的10家机构，有7家采用JJF 1101-2019，有3家采用JJF 1564-2016。参照JJF 1101进行校准时，关注温度偏差、温度均匀度、温度波动度3个项目；参照JJF 1564进行校准时，不需关注温度偏差，但需增加温度变化率项目；根据实际使用情况、使用场合的不同，两个规范在测量点的布设以及温度均匀度、温度波动度的计算方法上也不同，导致校准结果产生比较大的差异。严格意义上来说，2个校准方法均不适用于专用恒温箱的校准，最终无法科学、准确地验证其技术指标。</w:t>
      </w:r>
    </w:p>
    <w:p w14:paraId="025AD30F">
      <w:pPr>
        <w:keepNext w:val="0"/>
        <w:keepLines w:val="0"/>
        <w:pageBreakBefore w:val="0"/>
        <w:widowControl w:val="0"/>
        <w:numPr>
          <w:ilvl w:val="0"/>
          <w:numId w:val="2"/>
        </w:numPr>
        <w:tabs>
          <w:tab w:val="left" w:pos="1080"/>
        </w:tabs>
        <w:kinsoku/>
        <w:wordWrap/>
        <w:overflowPunct/>
        <w:topLinePunct w:val="0"/>
        <w:autoSpaceDE/>
        <w:autoSpaceDN/>
        <w:bidi w:val="0"/>
        <w:adjustRightInd/>
        <w:snapToGrid/>
        <w:spacing w:line="300" w:lineRule="auto"/>
        <w:ind w:left="0" w:leftChars="0" w:right="0" w:rightChars="0" w:firstLine="482" w:firstLineChars="200"/>
        <w:textAlignment w:val="auto"/>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专用恒温箱的模拟替代方法</w:t>
      </w:r>
    </w:p>
    <w:p w14:paraId="5A2907F8">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由于以上2个问题的存在，而且短期内无法有效解决，部分生产企业、技术机构采用多种多样的方法，通过模拟满足规范要求的温场，替代无法达到使用要求的专用恒温箱，目前主要有加工空气腔置于恒温槽以及在温度箱中增加均温快2种方法。但此类方法属于非标准方法，缺少统一性以及多家实验室的比对验证，并不能让所有的技术机构认可。</w:t>
      </w:r>
    </w:p>
    <w:p w14:paraId="1EEA18F5">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综上所述，本次规范的修订主要原因有以下2个方面：</w:t>
      </w:r>
    </w:p>
    <w:p w14:paraId="4EBE5C9F">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（1）采集仪技术发展迅猛，应用场景越来越多，结构类型越来越多，测温准确度的需求越来越高，测温范围越来越广，现有JJF 1366-2012《温度数据采集仪校准规范》已不能满足校准需求；</w:t>
      </w:r>
    </w:p>
    <w:p w14:paraId="62BF7DF1">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（2）老规范中对专用恒温箱的技术指标要求过高，专用恒温箱技术指标的验证方法缺失，现有很多模拟替代方法均在大量使用，但未形成一个统一的规范。</w:t>
      </w:r>
    </w:p>
    <w:p w14:paraId="1621E82B">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鉴于以上原因，以浙江省质量科学研究院为召集单位，联合上海院、广东院、福建院、磐然（采集仪生产厂商）和唯立（专用恒温箱生产厂商）组成了规范起草组，对JJF 1366-2012《温度数据采集仪校准规范》进行修订。修订后的校准规范，将会增加规范的适用范围，涵盖更多种类的采集仪；延伸测温范围，满足大量程尤其是超低温段的校准需求；修改专用恒温箱的技术要求，符合目前生产厂家以及实际校准工作的真实要求；增加专用恒温箱的计量性能验证方法，为其科学准确溯源提供技术依据；通过大量的实验，统一规范多种模拟替代方法的可行性。</w:t>
      </w:r>
    </w:p>
    <w:p w14:paraId="61A53CF8">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通过本次修订，最终使本规范能保证采集仪计量器具的量值溯源统一、准确、可靠，从而为芯片制造、集成电路、生物医药、冷链运输、量子超导等领域提供技术保障，助推采集仪的生产企业以及配套计量标准器的生产厂家技术能力提升与改造。</w:t>
      </w:r>
    </w:p>
    <w:p w14:paraId="0D997F7A">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eastAsia="黑体"/>
          <w:sz w:val="28"/>
          <w:szCs w:val="28"/>
        </w:rPr>
      </w:pPr>
      <w:r>
        <w:rPr>
          <w:rFonts w:hint="eastAsia" w:eastAsia="黑体"/>
          <w:sz w:val="28"/>
          <w:szCs w:val="28"/>
        </w:rPr>
        <w:t>二、产品概述</w:t>
      </w:r>
    </w:p>
    <w:p w14:paraId="32EE6AD4">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default"/>
          <w:sz w:val="24"/>
          <w:szCs w:val="24"/>
          <w:highlight w:val="none"/>
          <w:lang w:val="en-US" w:eastAsia="zh-CN"/>
        </w:rPr>
        <w:t>温度数据采集仪是</w:t>
      </w:r>
      <w:r>
        <w:rPr>
          <w:rFonts w:hint="eastAsia"/>
          <w:sz w:val="24"/>
          <w:szCs w:val="24"/>
          <w:highlight w:val="none"/>
          <w:lang w:val="en-US" w:eastAsia="zh-CN"/>
        </w:rPr>
        <w:t>一种</w:t>
      </w:r>
      <w:r>
        <w:rPr>
          <w:rFonts w:hint="default"/>
          <w:sz w:val="24"/>
          <w:szCs w:val="24"/>
          <w:highlight w:val="none"/>
          <w:lang w:val="en-US" w:eastAsia="zh-CN"/>
        </w:rPr>
        <w:t>专门用于采集、存储并传输温度数据的专用电子设备</w:t>
      </w:r>
      <w:r>
        <w:rPr>
          <w:rFonts w:hint="eastAsia"/>
          <w:sz w:val="24"/>
          <w:szCs w:val="24"/>
          <w:highlight w:val="none"/>
          <w:lang w:val="en-US" w:eastAsia="zh-CN"/>
        </w:rPr>
        <w:t>，将现场不可直接数字化的物理温度量，转换为计算机、控制系统等智能设备可以识别、处理和存储的数字信号，最终实现温度的实时监测、数据追溯和异常预警，广泛应用于工业制造、冷链物流、科研实验、环境监测等需要精准温控与数据记录的场景。相较于传统仅记录存储的温度记录仪，更突出对温度信号的采集转换和远程传输能力，是现代物联网温度监测系统的核心终端设备。</w:t>
      </w:r>
    </w:p>
    <w:p w14:paraId="0B01EEA6">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default"/>
          <w:kern w:val="0"/>
          <w:sz w:val="28"/>
          <w:szCs w:val="28"/>
          <w:lang w:val="en-US"/>
        </w:rPr>
      </w:pPr>
      <w:r>
        <w:rPr>
          <w:rFonts w:hint="eastAsia"/>
          <w:kern w:val="0"/>
          <w:sz w:val="28"/>
          <w:szCs w:val="28"/>
          <w:lang w:val="en-US" w:eastAsia="zh-CN"/>
        </w:rPr>
        <w:t>2.1 基本原理与组成部分</w:t>
      </w:r>
    </w:p>
    <w:p w14:paraId="18450B6E">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default"/>
          <w:sz w:val="24"/>
          <w:szCs w:val="24"/>
          <w:highlight w:val="none"/>
          <w:lang w:val="en-US" w:eastAsia="zh-CN"/>
        </w:rPr>
        <w:t>温度数据采集仪</w:t>
      </w:r>
      <w:r>
        <w:rPr>
          <w:rFonts w:hint="eastAsia"/>
          <w:sz w:val="24"/>
          <w:szCs w:val="24"/>
          <w:highlight w:val="none"/>
          <w:lang w:val="en-US" w:eastAsia="zh-CN"/>
        </w:rPr>
        <w:t>工作的</w:t>
      </w:r>
      <w:r>
        <w:rPr>
          <w:rFonts w:hint="default"/>
          <w:sz w:val="24"/>
          <w:szCs w:val="24"/>
          <w:highlight w:val="none"/>
          <w:lang w:val="en-US" w:eastAsia="zh-CN"/>
        </w:rPr>
        <w:t>基本原理</w:t>
      </w:r>
      <w:r>
        <w:rPr>
          <w:rFonts w:hint="eastAsia"/>
          <w:sz w:val="24"/>
          <w:szCs w:val="24"/>
          <w:highlight w:val="none"/>
          <w:lang w:val="en-US" w:eastAsia="zh-CN"/>
        </w:rPr>
        <w:t>主要包括“</w:t>
      </w:r>
      <w:r>
        <w:rPr>
          <w:rFonts w:hint="default"/>
          <w:sz w:val="24"/>
          <w:szCs w:val="24"/>
          <w:highlight w:val="none"/>
          <w:lang w:val="en-US" w:eastAsia="zh-CN"/>
        </w:rPr>
        <w:t>感知-转换-处理-传输</w:t>
      </w:r>
      <w:r>
        <w:rPr>
          <w:rFonts w:hint="eastAsia"/>
          <w:sz w:val="24"/>
          <w:szCs w:val="24"/>
          <w:highlight w:val="none"/>
          <w:lang w:val="en-US" w:eastAsia="zh-CN"/>
        </w:rPr>
        <w:t>”四部分</w:t>
      </w:r>
      <w:r>
        <w:rPr>
          <w:rFonts w:hint="default"/>
          <w:sz w:val="24"/>
          <w:szCs w:val="24"/>
          <w:highlight w:val="none"/>
          <w:lang w:val="en-US" w:eastAsia="zh-CN"/>
        </w:rPr>
        <w:t>‌，</w:t>
      </w:r>
      <w:r>
        <w:rPr>
          <w:rFonts w:hint="eastAsia"/>
          <w:sz w:val="24"/>
          <w:szCs w:val="24"/>
          <w:highlight w:val="none"/>
          <w:lang w:val="en-US" w:eastAsia="zh-CN"/>
        </w:rPr>
        <w:t>每个部分的工作环节有独立的技术特点和硬件设备</w:t>
      </w:r>
      <w:r>
        <w:rPr>
          <w:rFonts w:hint="default"/>
          <w:sz w:val="24"/>
          <w:szCs w:val="24"/>
          <w:highlight w:val="none"/>
          <w:lang w:val="en-US" w:eastAsia="zh-CN"/>
        </w:rPr>
        <w:t>，最终实现温度的数字化采集与利用，具体</w:t>
      </w:r>
      <w:r>
        <w:rPr>
          <w:rFonts w:hint="eastAsia"/>
          <w:sz w:val="24"/>
          <w:szCs w:val="24"/>
          <w:highlight w:val="none"/>
          <w:lang w:val="en-US" w:eastAsia="zh-CN"/>
        </w:rPr>
        <w:t>工作原理和硬件设备</w:t>
      </w:r>
      <w:r>
        <w:rPr>
          <w:rFonts w:hint="default"/>
          <w:sz w:val="24"/>
          <w:szCs w:val="24"/>
          <w:highlight w:val="none"/>
          <w:lang w:val="en-US" w:eastAsia="zh-CN"/>
        </w:rPr>
        <w:t>如下：</w:t>
      </w:r>
    </w:p>
    <w:p w14:paraId="03281C77">
      <w:pPr>
        <w:keepNext w:val="0"/>
        <w:keepLines w:val="0"/>
        <w:pageBreakBefore w:val="0"/>
        <w:widowControl w:val="0"/>
        <w:numPr>
          <w:ilvl w:val="0"/>
          <w:numId w:val="3"/>
        </w:numPr>
        <w:tabs>
          <w:tab w:val="left" w:pos="1080"/>
        </w:tabs>
        <w:kinsoku/>
        <w:wordWrap/>
        <w:overflowPunct/>
        <w:topLinePunct w:val="0"/>
        <w:autoSpaceDE/>
        <w:autoSpaceDN/>
        <w:bidi w:val="0"/>
        <w:adjustRightInd/>
        <w:snapToGrid/>
        <w:spacing w:line="300" w:lineRule="auto"/>
        <w:ind w:left="0" w:leftChars="0" w:right="0" w:rightChars="0" w:firstLine="482" w:firstLineChars="200"/>
        <w:textAlignment w:val="auto"/>
        <w:rPr>
          <w:rFonts w:hint="eastAsia" w:ascii="仿宋" w:hAnsi="仿宋" w:eastAsia="仿宋" w:cs="仿宋"/>
          <w:b/>
          <w:bCs/>
          <w:color w:val="auto"/>
          <w:sz w:val="24"/>
          <w:szCs w:val="24"/>
          <w:lang w:val="en-US" w:eastAsia="zh-CN"/>
        </w:rPr>
      </w:pPr>
      <w:r>
        <w:rPr>
          <w:rFonts w:hint="default" w:ascii="仿宋" w:hAnsi="仿宋" w:eastAsia="仿宋" w:cs="仿宋"/>
          <w:b/>
          <w:bCs/>
          <w:color w:val="auto"/>
          <w:sz w:val="24"/>
          <w:szCs w:val="24"/>
          <w:lang w:val="en-US" w:eastAsia="zh-CN"/>
        </w:rPr>
        <w:t>温度感知：物理信号转换</w:t>
      </w:r>
    </w:p>
    <w:p w14:paraId="0B4AB629">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default"/>
          <w:sz w:val="24"/>
          <w:szCs w:val="24"/>
          <w:highlight w:val="none"/>
          <w:lang w:val="en-US" w:eastAsia="zh-CN"/>
        </w:rPr>
        <w:t>温度传感器‌感知温度变化，将温度这个物理量转换为可测量的模拟电信号（电阻/电压/电流）变化</w:t>
      </w:r>
      <w:r>
        <w:rPr>
          <w:rFonts w:hint="eastAsia"/>
          <w:sz w:val="24"/>
          <w:szCs w:val="24"/>
          <w:highlight w:val="none"/>
          <w:lang w:val="en-US" w:eastAsia="zh-CN"/>
        </w:rPr>
        <w:t>，目前温度传感器主要包含以下几类：</w:t>
      </w:r>
    </w:p>
    <w:p w14:paraId="398BE59E">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（1）</w:t>
      </w:r>
      <w:r>
        <w:rPr>
          <w:rFonts w:hint="default"/>
          <w:sz w:val="24"/>
          <w:szCs w:val="24"/>
          <w:highlight w:val="none"/>
          <w:lang w:val="en-US" w:eastAsia="zh-CN"/>
        </w:rPr>
        <w:t>铂热电阻（如PT100/PT1000</w:t>
      </w:r>
      <w:r>
        <w:rPr>
          <w:rFonts w:hint="eastAsia"/>
          <w:sz w:val="24"/>
          <w:szCs w:val="24"/>
          <w:highlight w:val="none"/>
          <w:lang w:val="en-US" w:eastAsia="zh-CN"/>
        </w:rPr>
        <w:t>型</w:t>
      </w:r>
      <w:r>
        <w:rPr>
          <w:rFonts w:hint="default"/>
          <w:sz w:val="24"/>
          <w:szCs w:val="24"/>
          <w:highlight w:val="none"/>
          <w:lang w:val="en-US" w:eastAsia="zh-CN"/>
        </w:rPr>
        <w:t>）：</w:t>
      </w:r>
      <w:r>
        <w:rPr>
          <w:rFonts w:hint="eastAsia"/>
          <w:sz w:val="24"/>
          <w:szCs w:val="24"/>
          <w:highlight w:val="none"/>
          <w:lang w:val="en-US" w:eastAsia="zh-CN"/>
        </w:rPr>
        <w:t>电</w:t>
      </w:r>
      <w:r>
        <w:rPr>
          <w:rFonts w:hint="default"/>
          <w:sz w:val="24"/>
          <w:szCs w:val="24"/>
          <w:highlight w:val="none"/>
          <w:lang w:val="en-US" w:eastAsia="zh-CN"/>
        </w:rPr>
        <w:t>阻值随温度</w:t>
      </w:r>
      <w:r>
        <w:rPr>
          <w:rFonts w:hint="eastAsia"/>
          <w:sz w:val="24"/>
          <w:szCs w:val="24"/>
          <w:highlight w:val="none"/>
          <w:lang w:val="en-US" w:eastAsia="zh-CN"/>
        </w:rPr>
        <w:t>的变化产生</w:t>
      </w:r>
      <w:r>
        <w:rPr>
          <w:rFonts w:hint="default"/>
          <w:sz w:val="24"/>
          <w:szCs w:val="24"/>
          <w:highlight w:val="none"/>
          <w:lang w:val="en-US" w:eastAsia="zh-CN"/>
        </w:rPr>
        <w:t>规律性</w:t>
      </w:r>
      <w:r>
        <w:rPr>
          <w:rFonts w:hint="eastAsia"/>
          <w:sz w:val="24"/>
          <w:szCs w:val="24"/>
          <w:highlight w:val="none"/>
          <w:lang w:val="en-US" w:eastAsia="zh-CN"/>
        </w:rPr>
        <w:t>变化</w:t>
      </w:r>
      <w:r>
        <w:rPr>
          <w:rFonts w:hint="default"/>
          <w:sz w:val="24"/>
          <w:szCs w:val="24"/>
          <w:highlight w:val="none"/>
          <w:lang w:val="en-US" w:eastAsia="zh-CN"/>
        </w:rPr>
        <w:t>，</w:t>
      </w:r>
      <w:r>
        <w:rPr>
          <w:rFonts w:hint="eastAsia"/>
          <w:sz w:val="24"/>
          <w:szCs w:val="24"/>
          <w:highlight w:val="none"/>
          <w:lang w:val="en-US" w:eastAsia="zh-CN"/>
        </w:rPr>
        <w:t>具有准确度</w:t>
      </w:r>
      <w:r>
        <w:rPr>
          <w:rFonts w:hint="default"/>
          <w:sz w:val="24"/>
          <w:szCs w:val="24"/>
          <w:highlight w:val="none"/>
          <w:lang w:val="en-US" w:eastAsia="zh-CN"/>
        </w:rPr>
        <w:t>高</w:t>
      </w:r>
      <w:r>
        <w:rPr>
          <w:rFonts w:hint="eastAsia"/>
          <w:sz w:val="24"/>
          <w:szCs w:val="24"/>
          <w:highlight w:val="none"/>
          <w:lang w:val="en-US" w:eastAsia="zh-CN"/>
        </w:rPr>
        <w:t>、</w:t>
      </w:r>
      <w:r>
        <w:rPr>
          <w:rFonts w:hint="default"/>
          <w:sz w:val="24"/>
          <w:szCs w:val="24"/>
          <w:highlight w:val="none"/>
          <w:lang w:val="en-US" w:eastAsia="zh-CN"/>
        </w:rPr>
        <w:t>稳定性好</w:t>
      </w:r>
      <w:r>
        <w:rPr>
          <w:rFonts w:hint="eastAsia"/>
          <w:sz w:val="24"/>
          <w:szCs w:val="24"/>
          <w:highlight w:val="none"/>
          <w:lang w:val="en-US" w:eastAsia="zh-CN"/>
        </w:rPr>
        <w:t>等优点</w:t>
      </w:r>
      <w:r>
        <w:rPr>
          <w:rFonts w:hint="default"/>
          <w:sz w:val="24"/>
          <w:szCs w:val="24"/>
          <w:highlight w:val="none"/>
          <w:lang w:val="en-US" w:eastAsia="zh-CN"/>
        </w:rPr>
        <w:t>，是工业常温场景最常用的</w:t>
      </w:r>
      <w:r>
        <w:rPr>
          <w:rFonts w:hint="eastAsia"/>
          <w:sz w:val="24"/>
          <w:szCs w:val="24"/>
          <w:highlight w:val="none"/>
          <w:lang w:val="en-US" w:eastAsia="zh-CN"/>
        </w:rPr>
        <w:t>传感器</w:t>
      </w:r>
      <w:r>
        <w:rPr>
          <w:rFonts w:hint="default"/>
          <w:sz w:val="24"/>
          <w:szCs w:val="24"/>
          <w:highlight w:val="none"/>
          <w:lang w:val="en-US" w:eastAsia="zh-CN"/>
        </w:rPr>
        <w:t>类型</w:t>
      </w:r>
      <w:r>
        <w:rPr>
          <w:rFonts w:hint="eastAsia"/>
          <w:sz w:val="24"/>
          <w:szCs w:val="24"/>
          <w:highlight w:val="none"/>
          <w:lang w:val="en-US" w:eastAsia="zh-CN"/>
        </w:rPr>
        <w:t>。</w:t>
      </w:r>
    </w:p>
    <w:p w14:paraId="4E57FBBF">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（2）</w:t>
      </w:r>
      <w:r>
        <w:rPr>
          <w:rFonts w:hint="default"/>
          <w:sz w:val="24"/>
          <w:szCs w:val="24"/>
          <w:highlight w:val="none"/>
          <w:lang w:val="en-US" w:eastAsia="zh-CN"/>
        </w:rPr>
        <w:t>热电偶</w:t>
      </w:r>
      <w:r>
        <w:rPr>
          <w:rFonts w:hint="eastAsia"/>
          <w:sz w:val="24"/>
          <w:szCs w:val="24"/>
          <w:highlight w:val="none"/>
          <w:lang w:val="en-US" w:eastAsia="zh-CN"/>
        </w:rPr>
        <w:t>（如K/T型）</w:t>
      </w:r>
      <w:r>
        <w:rPr>
          <w:rFonts w:hint="default"/>
          <w:sz w:val="24"/>
          <w:szCs w:val="24"/>
          <w:highlight w:val="none"/>
          <w:lang w:val="en-US" w:eastAsia="zh-CN"/>
        </w:rPr>
        <w:t>：利用</w:t>
      </w:r>
      <w:r>
        <w:rPr>
          <w:rFonts w:hint="eastAsia"/>
          <w:sz w:val="24"/>
          <w:szCs w:val="24"/>
          <w:highlight w:val="none"/>
          <w:lang w:val="en-US" w:eastAsia="zh-CN"/>
        </w:rPr>
        <w:t>金属材料的</w:t>
      </w:r>
      <w:r>
        <w:rPr>
          <w:rFonts w:hint="default"/>
          <w:sz w:val="24"/>
          <w:szCs w:val="24"/>
          <w:highlight w:val="none"/>
          <w:lang w:val="en-US" w:eastAsia="zh-CN"/>
        </w:rPr>
        <w:t>热电效应，</w:t>
      </w:r>
      <w:r>
        <w:rPr>
          <w:rFonts w:hint="eastAsia"/>
          <w:sz w:val="24"/>
          <w:szCs w:val="24"/>
          <w:highlight w:val="none"/>
          <w:lang w:val="en-US" w:eastAsia="zh-CN"/>
        </w:rPr>
        <w:t>在不同的温度下，两种不同材质的金属产生的热电动势不同，热电动势与温度有一定的对应关系，</w:t>
      </w:r>
      <w:r>
        <w:rPr>
          <w:rFonts w:hint="default"/>
          <w:sz w:val="24"/>
          <w:szCs w:val="24"/>
          <w:highlight w:val="none"/>
          <w:lang w:val="en-US" w:eastAsia="zh-CN"/>
        </w:rPr>
        <w:t>适合</w:t>
      </w:r>
      <w:r>
        <w:rPr>
          <w:rFonts w:hint="eastAsia"/>
          <w:sz w:val="24"/>
          <w:szCs w:val="24"/>
          <w:highlight w:val="none"/>
          <w:lang w:val="en-US" w:eastAsia="zh-CN"/>
        </w:rPr>
        <w:t>温度较高的场景下使用。</w:t>
      </w:r>
    </w:p>
    <w:p w14:paraId="3B2E0C99">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（3）</w:t>
      </w:r>
      <w:r>
        <w:rPr>
          <w:rFonts w:hint="default"/>
          <w:sz w:val="24"/>
          <w:szCs w:val="24"/>
          <w:highlight w:val="none"/>
          <w:lang w:val="en-US" w:eastAsia="zh-CN"/>
        </w:rPr>
        <w:t>热敏电阻：一种对温度敏感、阻值随温度变化显著改变的半导体传感器电阻‌，</w:t>
      </w:r>
      <w:r>
        <w:rPr>
          <w:rFonts w:hint="eastAsia"/>
          <w:sz w:val="24"/>
          <w:szCs w:val="24"/>
          <w:highlight w:val="none"/>
          <w:lang w:val="en-US" w:eastAsia="zh-CN"/>
        </w:rPr>
        <w:t>具有</w:t>
      </w:r>
      <w:r>
        <w:rPr>
          <w:rFonts w:hint="default"/>
          <w:sz w:val="24"/>
          <w:szCs w:val="24"/>
          <w:highlight w:val="none"/>
          <w:lang w:val="en-US" w:eastAsia="zh-CN"/>
        </w:rPr>
        <w:t>体积小</w:t>
      </w:r>
      <w:r>
        <w:rPr>
          <w:rFonts w:hint="eastAsia"/>
          <w:sz w:val="24"/>
          <w:szCs w:val="24"/>
          <w:highlight w:val="none"/>
          <w:lang w:val="en-US" w:eastAsia="zh-CN"/>
        </w:rPr>
        <w:t>、</w:t>
      </w:r>
      <w:r>
        <w:rPr>
          <w:rFonts w:hint="default"/>
          <w:sz w:val="24"/>
          <w:szCs w:val="24"/>
          <w:highlight w:val="none"/>
          <w:lang w:val="en-US" w:eastAsia="zh-CN"/>
        </w:rPr>
        <w:t>成本低</w:t>
      </w:r>
      <w:r>
        <w:rPr>
          <w:rFonts w:hint="eastAsia"/>
          <w:sz w:val="24"/>
          <w:szCs w:val="24"/>
          <w:highlight w:val="none"/>
          <w:lang w:val="en-US" w:eastAsia="zh-CN"/>
        </w:rPr>
        <w:t>、灵敏度高的优点</w:t>
      </w:r>
      <w:r>
        <w:rPr>
          <w:rFonts w:hint="default"/>
          <w:sz w:val="24"/>
          <w:szCs w:val="24"/>
          <w:highlight w:val="none"/>
          <w:lang w:val="en-US" w:eastAsia="zh-CN"/>
        </w:rPr>
        <w:t>，是温度数据采集仪中最常用的温度感知元件之一</w:t>
      </w:r>
      <w:r>
        <w:rPr>
          <w:rFonts w:hint="eastAsia"/>
          <w:sz w:val="24"/>
          <w:szCs w:val="24"/>
          <w:highlight w:val="none"/>
          <w:lang w:val="en-US" w:eastAsia="zh-CN"/>
        </w:rPr>
        <w:t>。</w:t>
      </w:r>
    </w:p>
    <w:p w14:paraId="219C625E">
      <w:pPr>
        <w:keepNext w:val="0"/>
        <w:keepLines w:val="0"/>
        <w:pageBreakBefore w:val="0"/>
        <w:widowControl w:val="0"/>
        <w:numPr>
          <w:ilvl w:val="0"/>
          <w:numId w:val="3"/>
        </w:numPr>
        <w:tabs>
          <w:tab w:val="left" w:pos="1080"/>
        </w:tabs>
        <w:kinsoku/>
        <w:wordWrap/>
        <w:overflowPunct/>
        <w:topLinePunct w:val="0"/>
        <w:autoSpaceDE/>
        <w:autoSpaceDN/>
        <w:bidi w:val="0"/>
        <w:adjustRightInd/>
        <w:snapToGrid/>
        <w:spacing w:line="300" w:lineRule="auto"/>
        <w:ind w:left="0" w:leftChars="0" w:right="0" w:rightChars="0" w:firstLine="482" w:firstLineChars="200"/>
        <w:textAlignment w:val="auto"/>
        <w:rPr>
          <w:rFonts w:hint="default" w:ascii="仿宋" w:hAnsi="仿宋" w:eastAsia="仿宋" w:cs="仿宋"/>
          <w:b/>
          <w:bCs/>
          <w:color w:val="auto"/>
          <w:sz w:val="24"/>
          <w:szCs w:val="24"/>
          <w:lang w:val="en-US" w:eastAsia="zh-CN"/>
        </w:rPr>
      </w:pPr>
      <w:r>
        <w:rPr>
          <w:rFonts w:hint="default" w:ascii="仿宋" w:hAnsi="仿宋" w:eastAsia="仿宋" w:cs="仿宋"/>
          <w:b/>
          <w:bCs/>
          <w:color w:val="auto"/>
          <w:sz w:val="24"/>
          <w:szCs w:val="24"/>
          <w:lang w:val="en-US" w:eastAsia="zh-CN"/>
        </w:rPr>
        <w:t>信号调理与模数转换</w:t>
      </w:r>
    </w:p>
    <w:p w14:paraId="78133882">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default"/>
          <w:sz w:val="24"/>
          <w:szCs w:val="24"/>
          <w:highlight w:val="none"/>
          <w:lang w:val="en-US" w:eastAsia="zh-CN"/>
        </w:rPr>
        <w:t>传感器输出的模拟信号通常非常微弱且不稳定，需要先经过‌信号调理电路‌处理：通过恒流源供电、惠斯通电桥检测微小电阻变化、差分放大电路放大信号，得到稳定可用的模拟信号。</w:t>
      </w:r>
    </w:p>
    <w:p w14:paraId="5C83004F">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default"/>
          <w:sz w:val="24"/>
          <w:szCs w:val="24"/>
          <w:highlight w:val="none"/>
          <w:lang w:val="en-US" w:eastAsia="zh-CN"/>
        </w:rPr>
        <w:t>处理后的模拟信号送入‌模数转换器（ADC）‌，将连续的模拟信号转换为微控制器能识别的数字信号，ADC的分辨率直接决定</w:t>
      </w:r>
      <w:r>
        <w:rPr>
          <w:rFonts w:hint="eastAsia"/>
          <w:sz w:val="24"/>
          <w:szCs w:val="24"/>
          <w:highlight w:val="none"/>
          <w:lang w:val="en-US" w:eastAsia="zh-CN"/>
        </w:rPr>
        <w:t>测温准确度</w:t>
      </w:r>
      <w:r>
        <w:rPr>
          <w:rFonts w:hint="default"/>
          <w:sz w:val="24"/>
          <w:szCs w:val="24"/>
          <w:highlight w:val="none"/>
          <w:lang w:val="en-US" w:eastAsia="zh-CN"/>
        </w:rPr>
        <w:t>：‌24位高精度ADC可实现0.01℃甚至更高的分辨</w:t>
      </w:r>
      <w:r>
        <w:rPr>
          <w:rFonts w:hint="eastAsia"/>
          <w:sz w:val="24"/>
          <w:szCs w:val="24"/>
          <w:highlight w:val="none"/>
          <w:lang w:val="en-US" w:eastAsia="zh-CN"/>
        </w:rPr>
        <w:t>力</w:t>
      </w:r>
      <w:r>
        <w:rPr>
          <w:rFonts w:hint="default"/>
          <w:sz w:val="24"/>
          <w:szCs w:val="24"/>
          <w:highlight w:val="none"/>
          <w:lang w:val="en-US" w:eastAsia="zh-CN"/>
        </w:rPr>
        <w:t>‌。</w:t>
      </w:r>
    </w:p>
    <w:p w14:paraId="0EEBC5A4">
      <w:pPr>
        <w:keepNext w:val="0"/>
        <w:keepLines w:val="0"/>
        <w:pageBreakBefore w:val="0"/>
        <w:widowControl w:val="0"/>
        <w:numPr>
          <w:ilvl w:val="0"/>
          <w:numId w:val="3"/>
        </w:numPr>
        <w:tabs>
          <w:tab w:val="left" w:pos="1080"/>
        </w:tabs>
        <w:kinsoku/>
        <w:wordWrap/>
        <w:overflowPunct/>
        <w:topLinePunct w:val="0"/>
        <w:autoSpaceDE/>
        <w:autoSpaceDN/>
        <w:bidi w:val="0"/>
        <w:adjustRightInd/>
        <w:snapToGrid/>
        <w:spacing w:line="300" w:lineRule="auto"/>
        <w:ind w:left="0" w:leftChars="0" w:right="0" w:rightChars="0" w:firstLine="482" w:firstLineChars="200"/>
        <w:textAlignment w:val="auto"/>
        <w:rPr>
          <w:rFonts w:hint="default" w:ascii="仿宋" w:hAnsi="仿宋" w:eastAsia="仿宋" w:cs="仿宋"/>
          <w:b/>
          <w:bCs/>
          <w:color w:val="auto"/>
          <w:sz w:val="24"/>
          <w:szCs w:val="24"/>
          <w:lang w:val="en-US" w:eastAsia="zh-CN"/>
        </w:rPr>
      </w:pPr>
      <w:r>
        <w:rPr>
          <w:rFonts w:hint="default" w:ascii="仿宋" w:hAnsi="仿宋" w:eastAsia="仿宋" w:cs="仿宋"/>
          <w:b/>
          <w:bCs/>
          <w:color w:val="auto"/>
          <w:sz w:val="24"/>
          <w:szCs w:val="24"/>
          <w:lang w:val="en-US" w:eastAsia="zh-CN"/>
        </w:rPr>
        <w:t>数据计算与优化</w:t>
      </w:r>
    </w:p>
    <w:p w14:paraId="56E3EE7E">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default"/>
          <w:sz w:val="24"/>
          <w:szCs w:val="24"/>
          <w:highlight w:val="none"/>
          <w:lang w:val="en-US" w:eastAsia="zh-CN"/>
        </w:rPr>
        <w:t>微控制器（MCU）接收到数字信号后，完成</w:t>
      </w:r>
      <w:r>
        <w:rPr>
          <w:rFonts w:hint="eastAsia"/>
          <w:sz w:val="24"/>
          <w:szCs w:val="24"/>
          <w:highlight w:val="none"/>
          <w:lang w:val="en-US" w:eastAsia="zh-CN"/>
        </w:rPr>
        <w:t>以下两部</w:t>
      </w:r>
      <w:r>
        <w:rPr>
          <w:rFonts w:hint="default"/>
          <w:sz w:val="24"/>
          <w:szCs w:val="24"/>
          <w:highlight w:val="none"/>
          <w:lang w:val="en-US" w:eastAsia="zh-CN"/>
        </w:rPr>
        <w:t>核心处理</w:t>
      </w:r>
      <w:r>
        <w:rPr>
          <w:rFonts w:hint="eastAsia"/>
          <w:sz w:val="24"/>
          <w:szCs w:val="24"/>
          <w:highlight w:val="none"/>
          <w:lang w:val="en-US" w:eastAsia="zh-CN"/>
        </w:rPr>
        <w:t>，得到准确可靠的温度数据。</w:t>
      </w:r>
    </w:p>
    <w:p w14:paraId="345599EE">
      <w:pPr>
        <w:pStyle w:val="5"/>
        <w:keepNext w:val="0"/>
        <w:keepLines w:val="0"/>
        <w:pageBreakBefore w:val="0"/>
        <w:widowControl w:val="0"/>
        <w:numPr>
          <w:ilvl w:val="0"/>
          <w:numId w:val="4"/>
        </w:numPr>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default"/>
          <w:sz w:val="24"/>
          <w:szCs w:val="24"/>
          <w:highlight w:val="none"/>
          <w:lang w:val="en-US" w:eastAsia="zh-CN"/>
        </w:rPr>
        <w:t>通过内置算法或查表法（对照热电阻/热电偶分度表），计算出对应的实际温度值</w:t>
      </w:r>
      <w:r>
        <w:rPr>
          <w:rFonts w:hint="eastAsia"/>
          <w:sz w:val="24"/>
          <w:szCs w:val="24"/>
          <w:highlight w:val="none"/>
          <w:lang w:val="en-US" w:eastAsia="zh-CN"/>
        </w:rPr>
        <w:t>。</w:t>
      </w:r>
    </w:p>
    <w:p w14:paraId="5B9C66C0">
      <w:pPr>
        <w:pStyle w:val="5"/>
        <w:keepNext w:val="0"/>
        <w:keepLines w:val="0"/>
        <w:pageBreakBefore w:val="0"/>
        <w:widowControl w:val="0"/>
        <w:numPr>
          <w:ilvl w:val="0"/>
          <w:numId w:val="4"/>
        </w:numPr>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default"/>
          <w:sz w:val="24"/>
          <w:szCs w:val="24"/>
          <w:highlight w:val="none"/>
          <w:lang w:val="en-US" w:eastAsia="zh-CN"/>
        </w:rPr>
        <w:t>通过线性化校正、数字滤波（均值滤波/中值滤波）消除环境干扰，提升数据稳定性处理完成的温度数据会暂时存储在寄存器或内置内存中。</w:t>
      </w:r>
    </w:p>
    <w:p w14:paraId="6D0297C8">
      <w:pPr>
        <w:keepNext w:val="0"/>
        <w:keepLines w:val="0"/>
        <w:pageBreakBefore w:val="0"/>
        <w:widowControl w:val="0"/>
        <w:numPr>
          <w:ilvl w:val="0"/>
          <w:numId w:val="3"/>
        </w:numPr>
        <w:tabs>
          <w:tab w:val="left" w:pos="1080"/>
        </w:tabs>
        <w:kinsoku/>
        <w:wordWrap/>
        <w:overflowPunct/>
        <w:topLinePunct w:val="0"/>
        <w:autoSpaceDE/>
        <w:autoSpaceDN/>
        <w:bidi w:val="0"/>
        <w:adjustRightInd/>
        <w:snapToGrid/>
        <w:spacing w:line="300" w:lineRule="auto"/>
        <w:ind w:left="0" w:leftChars="0" w:right="0" w:rightChars="0" w:firstLine="482" w:firstLineChars="200"/>
        <w:textAlignment w:val="auto"/>
        <w:rPr>
          <w:rFonts w:hint="default" w:ascii="仿宋" w:hAnsi="仿宋" w:eastAsia="仿宋" w:cs="仿宋"/>
          <w:b/>
          <w:bCs/>
          <w:color w:val="auto"/>
          <w:sz w:val="24"/>
          <w:szCs w:val="24"/>
          <w:lang w:val="en-US" w:eastAsia="zh-CN"/>
        </w:rPr>
      </w:pPr>
      <w:r>
        <w:rPr>
          <w:rFonts w:hint="default" w:ascii="仿宋" w:hAnsi="仿宋" w:eastAsia="仿宋" w:cs="仿宋"/>
          <w:b/>
          <w:bCs/>
          <w:color w:val="auto"/>
          <w:sz w:val="24"/>
          <w:szCs w:val="24"/>
          <w:lang w:val="en-US" w:eastAsia="zh-CN"/>
        </w:rPr>
        <w:t>数据传输与输出</w:t>
      </w:r>
    </w:p>
    <w:p w14:paraId="7BAFDCD9">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经过以上三个环节的流程后，</w:t>
      </w:r>
      <w:r>
        <w:rPr>
          <w:rFonts w:hint="default"/>
          <w:sz w:val="24"/>
          <w:szCs w:val="24"/>
          <w:highlight w:val="none"/>
          <w:lang w:val="en-US" w:eastAsia="zh-CN"/>
        </w:rPr>
        <w:t>稳定的温度数据会通过通信接口传输到上位机、云平台或显示终端</w:t>
      </w:r>
      <w:r>
        <w:rPr>
          <w:rFonts w:hint="eastAsia"/>
          <w:sz w:val="24"/>
          <w:szCs w:val="24"/>
          <w:highlight w:val="none"/>
          <w:lang w:val="en-US" w:eastAsia="zh-CN"/>
        </w:rPr>
        <w:t>。数据传输主要包含以下几种方式：</w:t>
      </w:r>
    </w:p>
    <w:p w14:paraId="194B1377">
      <w:pPr>
        <w:pStyle w:val="5"/>
        <w:keepNext w:val="0"/>
        <w:keepLines w:val="0"/>
        <w:pageBreakBefore w:val="0"/>
        <w:widowControl w:val="0"/>
        <w:numPr>
          <w:ilvl w:val="0"/>
          <w:numId w:val="5"/>
        </w:numPr>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default"/>
          <w:sz w:val="24"/>
          <w:szCs w:val="24"/>
          <w:highlight w:val="none"/>
          <w:lang w:val="en-US" w:eastAsia="zh-CN"/>
        </w:rPr>
        <w:t>有线传输：支持RS-485（兼容Modbus协议，可级联多设备）、RS-232、USB、以太网等</w:t>
      </w:r>
      <w:r>
        <w:rPr>
          <w:rFonts w:hint="eastAsia"/>
          <w:sz w:val="24"/>
          <w:szCs w:val="24"/>
          <w:highlight w:val="none"/>
          <w:lang w:val="en-US" w:eastAsia="zh-CN"/>
        </w:rPr>
        <w:t>。</w:t>
      </w:r>
    </w:p>
    <w:p w14:paraId="1E3E6851">
      <w:pPr>
        <w:pStyle w:val="5"/>
        <w:keepNext w:val="0"/>
        <w:keepLines w:val="0"/>
        <w:pageBreakBefore w:val="0"/>
        <w:widowControl w:val="0"/>
        <w:numPr>
          <w:ilvl w:val="0"/>
          <w:numId w:val="5"/>
        </w:numPr>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default"/>
          <w:sz w:val="24"/>
          <w:szCs w:val="24"/>
          <w:highlight w:val="none"/>
          <w:lang w:val="en-US" w:eastAsia="zh-CN"/>
        </w:rPr>
        <w:t>无线传输：支持GPRS、NB-IoT、Wi-Fi、433MHz等，通过物联网协议封装后上传云端</w:t>
      </w:r>
      <w:r>
        <w:rPr>
          <w:rFonts w:hint="eastAsia"/>
          <w:sz w:val="24"/>
          <w:szCs w:val="24"/>
          <w:highlight w:val="none"/>
          <w:lang w:val="en-US" w:eastAsia="zh-CN"/>
        </w:rPr>
        <w:t>。</w:t>
      </w:r>
    </w:p>
    <w:p w14:paraId="39842E4E">
      <w:pPr>
        <w:pStyle w:val="5"/>
        <w:keepNext w:val="0"/>
        <w:keepLines w:val="0"/>
        <w:pageBreakBefore w:val="0"/>
        <w:widowControl w:val="0"/>
        <w:numPr>
          <w:ilvl w:val="0"/>
          <w:numId w:val="5"/>
        </w:numPr>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default"/>
          <w:sz w:val="24"/>
          <w:szCs w:val="24"/>
          <w:highlight w:val="none"/>
          <w:lang w:val="en-US" w:eastAsia="zh-CN"/>
        </w:rPr>
        <w:t>本地输出：部分自带LCD屏的型号可直接显示当前、最高/最低温度，支持超限声光报警</w:t>
      </w:r>
      <w:r>
        <w:rPr>
          <w:rFonts w:hint="eastAsia"/>
          <w:sz w:val="24"/>
          <w:szCs w:val="24"/>
          <w:highlight w:val="none"/>
          <w:lang w:val="en-US" w:eastAsia="zh-CN"/>
        </w:rPr>
        <w:t>。</w:t>
      </w:r>
    </w:p>
    <w:p w14:paraId="13B7B878">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default" w:eastAsia="宋体"/>
          <w:sz w:val="24"/>
          <w:szCs w:val="24"/>
          <w:highlight w:val="none"/>
          <w:lang w:val="en-US" w:eastAsia="zh-CN"/>
        </w:rPr>
      </w:pPr>
      <w:r>
        <w:rPr>
          <w:rFonts w:hint="eastAsia"/>
          <w:kern w:val="0"/>
          <w:sz w:val="28"/>
          <w:szCs w:val="28"/>
          <w:lang w:val="en-US" w:eastAsia="zh-CN"/>
        </w:rPr>
        <w:t>2</w:t>
      </w:r>
      <w:r>
        <w:rPr>
          <w:kern w:val="0"/>
          <w:sz w:val="28"/>
          <w:szCs w:val="28"/>
        </w:rPr>
        <w:t xml:space="preserve">.2 </w:t>
      </w:r>
      <w:r>
        <w:rPr>
          <w:rFonts w:hint="eastAsia"/>
          <w:kern w:val="0"/>
          <w:sz w:val="28"/>
          <w:szCs w:val="28"/>
          <w:lang w:val="en-US" w:eastAsia="zh-CN"/>
        </w:rPr>
        <w:t>应用领域和应用场景</w:t>
      </w:r>
    </w:p>
    <w:p w14:paraId="21BDA1BA">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default"/>
          <w:sz w:val="24"/>
          <w:szCs w:val="24"/>
          <w:highlight w:val="none"/>
          <w:lang w:val="en-US" w:eastAsia="zh-CN"/>
        </w:rPr>
        <w:t>温度数据采集仪作为专用温度监测设备，凭借高</w:t>
      </w:r>
      <w:r>
        <w:rPr>
          <w:rFonts w:hint="eastAsia"/>
          <w:sz w:val="24"/>
          <w:szCs w:val="24"/>
          <w:highlight w:val="none"/>
          <w:lang w:val="en-US" w:eastAsia="zh-CN"/>
        </w:rPr>
        <w:t>准确度</w:t>
      </w:r>
      <w:r>
        <w:rPr>
          <w:rFonts w:hint="default"/>
          <w:sz w:val="24"/>
          <w:szCs w:val="24"/>
          <w:highlight w:val="none"/>
          <w:lang w:val="en-US" w:eastAsia="zh-CN"/>
        </w:rPr>
        <w:t>、多通道、强抗干扰的</w:t>
      </w:r>
      <w:r>
        <w:rPr>
          <w:rFonts w:hint="eastAsia"/>
          <w:sz w:val="24"/>
          <w:szCs w:val="24"/>
          <w:highlight w:val="none"/>
          <w:lang w:val="en-US" w:eastAsia="zh-CN"/>
        </w:rPr>
        <w:t>计量</w:t>
      </w:r>
      <w:r>
        <w:rPr>
          <w:rFonts w:hint="default"/>
          <w:sz w:val="24"/>
          <w:szCs w:val="24"/>
          <w:highlight w:val="none"/>
          <w:lang w:val="en-US" w:eastAsia="zh-CN"/>
        </w:rPr>
        <w:t>特性，被广泛应用在工业生产、科研实验、民生保障等多个领域，</w:t>
      </w:r>
      <w:r>
        <w:rPr>
          <w:rFonts w:hint="eastAsia"/>
          <w:sz w:val="24"/>
          <w:szCs w:val="24"/>
          <w:highlight w:val="none"/>
          <w:lang w:val="en-US" w:eastAsia="zh-CN"/>
        </w:rPr>
        <w:t>主要应用场景主要包含以下几个领域：</w:t>
      </w:r>
    </w:p>
    <w:p w14:paraId="13E57BC3">
      <w:pPr>
        <w:keepNext w:val="0"/>
        <w:keepLines w:val="0"/>
        <w:pageBreakBefore w:val="0"/>
        <w:widowControl w:val="0"/>
        <w:numPr>
          <w:ilvl w:val="0"/>
          <w:numId w:val="6"/>
        </w:numPr>
        <w:tabs>
          <w:tab w:val="left" w:pos="1080"/>
        </w:tabs>
        <w:kinsoku/>
        <w:wordWrap/>
        <w:overflowPunct/>
        <w:topLinePunct w:val="0"/>
        <w:autoSpaceDE/>
        <w:autoSpaceDN/>
        <w:bidi w:val="0"/>
        <w:adjustRightInd/>
        <w:snapToGrid/>
        <w:spacing w:line="300" w:lineRule="auto"/>
        <w:ind w:left="0" w:leftChars="0" w:right="0" w:rightChars="0" w:firstLine="482" w:firstLineChars="200"/>
        <w:textAlignment w:val="auto"/>
        <w:rPr>
          <w:rFonts w:hint="default" w:ascii="仿宋" w:hAnsi="仿宋" w:eastAsia="仿宋" w:cs="仿宋"/>
          <w:b/>
          <w:bCs/>
          <w:color w:val="auto"/>
          <w:sz w:val="24"/>
          <w:szCs w:val="24"/>
          <w:lang w:val="en-US" w:eastAsia="zh-CN"/>
        </w:rPr>
      </w:pPr>
      <w:r>
        <w:rPr>
          <w:rFonts w:hint="default" w:ascii="仿宋" w:hAnsi="仿宋" w:eastAsia="仿宋" w:cs="仿宋"/>
          <w:b/>
          <w:bCs/>
          <w:color w:val="auto"/>
          <w:sz w:val="24"/>
          <w:szCs w:val="24"/>
          <w:lang w:val="en-US" w:eastAsia="zh-CN"/>
        </w:rPr>
        <w:t>工业制造与过程控制</w:t>
      </w:r>
    </w:p>
    <w:p w14:paraId="0D3B3D8A">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default"/>
          <w:sz w:val="24"/>
          <w:szCs w:val="24"/>
          <w:highlight w:val="none"/>
          <w:lang w:val="en-US" w:eastAsia="zh-CN"/>
        </w:rPr>
        <w:t>温度是工业生产中影响产品质量和安全的关键参数</w:t>
      </w:r>
      <w:r>
        <w:rPr>
          <w:rFonts w:hint="eastAsia"/>
          <w:sz w:val="24"/>
          <w:szCs w:val="24"/>
          <w:highlight w:val="none"/>
          <w:lang w:val="en-US" w:eastAsia="zh-CN"/>
        </w:rPr>
        <w:t>之一，在化工、冶金、机械加工、新能源等行业的温度监测、记录和存储是保障整个生产链条稳定可靠的基础手段。如：（1）</w:t>
      </w:r>
      <w:r>
        <w:rPr>
          <w:rFonts w:hint="default"/>
          <w:sz w:val="24"/>
          <w:szCs w:val="24"/>
          <w:highlight w:val="none"/>
          <w:lang w:val="en-US" w:eastAsia="zh-CN"/>
        </w:rPr>
        <w:t>化工生产中实时监测反应釜的温度，帮助控制反应进程，避免温度异常引发安全事故</w:t>
      </w:r>
      <w:r>
        <w:rPr>
          <w:rFonts w:hint="eastAsia"/>
          <w:sz w:val="24"/>
          <w:szCs w:val="24"/>
          <w:highlight w:val="none"/>
          <w:lang w:val="en-US" w:eastAsia="zh-CN"/>
        </w:rPr>
        <w:t>；（2）</w:t>
      </w:r>
      <w:r>
        <w:rPr>
          <w:rFonts w:hint="default"/>
          <w:sz w:val="24"/>
          <w:szCs w:val="24"/>
          <w:highlight w:val="none"/>
          <w:lang w:val="en-US" w:eastAsia="zh-CN"/>
        </w:rPr>
        <w:t>金属冶炼中对多工位温度进行同步采集，保障冶炼工艺稳定</w:t>
      </w:r>
      <w:r>
        <w:rPr>
          <w:rFonts w:hint="eastAsia"/>
          <w:sz w:val="24"/>
          <w:szCs w:val="24"/>
          <w:highlight w:val="none"/>
          <w:lang w:val="en-US" w:eastAsia="zh-CN"/>
        </w:rPr>
        <w:t>可靠；（3）</w:t>
      </w:r>
      <w:r>
        <w:rPr>
          <w:rFonts w:hint="default"/>
          <w:sz w:val="24"/>
          <w:szCs w:val="24"/>
          <w:highlight w:val="none"/>
          <w:lang w:val="en-US" w:eastAsia="zh-CN"/>
        </w:rPr>
        <w:t>新能源领域：用于</w:t>
      </w:r>
      <w:r>
        <w:rPr>
          <w:rFonts w:hint="eastAsia"/>
          <w:sz w:val="24"/>
          <w:szCs w:val="24"/>
          <w:highlight w:val="none"/>
          <w:lang w:val="en-US" w:eastAsia="zh-CN"/>
        </w:rPr>
        <w:t>锂电池的</w:t>
      </w:r>
      <w:r>
        <w:rPr>
          <w:rFonts w:hint="default"/>
          <w:sz w:val="24"/>
          <w:szCs w:val="24"/>
          <w:highlight w:val="none"/>
          <w:lang w:val="en-US" w:eastAsia="zh-CN"/>
        </w:rPr>
        <w:t>测试、储能系统的温度监测，保障储能电站和动力电池的安全运行</w:t>
      </w:r>
      <w:r>
        <w:rPr>
          <w:rFonts w:hint="eastAsia"/>
          <w:sz w:val="24"/>
          <w:szCs w:val="24"/>
          <w:highlight w:val="none"/>
          <w:lang w:val="en-US" w:eastAsia="zh-CN"/>
        </w:rPr>
        <w:t>；（4）</w:t>
      </w:r>
      <w:r>
        <w:rPr>
          <w:rFonts w:hint="default"/>
          <w:sz w:val="24"/>
          <w:szCs w:val="24"/>
          <w:highlight w:val="none"/>
          <w:lang w:val="en-US" w:eastAsia="zh-CN"/>
        </w:rPr>
        <w:t>汽车路测中监测车辆关键部件的温度变化，为性能优化提供数据</w:t>
      </w:r>
      <w:r>
        <w:rPr>
          <w:rFonts w:hint="eastAsia"/>
          <w:sz w:val="24"/>
          <w:szCs w:val="24"/>
          <w:highlight w:val="none"/>
          <w:lang w:val="en-US" w:eastAsia="zh-CN"/>
        </w:rPr>
        <w:t>等等。</w:t>
      </w:r>
    </w:p>
    <w:p w14:paraId="0D598612">
      <w:pPr>
        <w:keepNext w:val="0"/>
        <w:keepLines w:val="0"/>
        <w:pageBreakBefore w:val="0"/>
        <w:widowControl w:val="0"/>
        <w:numPr>
          <w:ilvl w:val="0"/>
          <w:numId w:val="6"/>
        </w:numPr>
        <w:tabs>
          <w:tab w:val="left" w:pos="1080"/>
        </w:tabs>
        <w:kinsoku/>
        <w:wordWrap/>
        <w:overflowPunct/>
        <w:topLinePunct w:val="0"/>
        <w:autoSpaceDE/>
        <w:autoSpaceDN/>
        <w:bidi w:val="0"/>
        <w:adjustRightInd/>
        <w:snapToGrid/>
        <w:spacing w:line="300" w:lineRule="auto"/>
        <w:ind w:left="0" w:leftChars="0" w:right="0" w:rightChars="0" w:firstLine="482" w:firstLineChars="200"/>
        <w:textAlignment w:val="auto"/>
        <w:rPr>
          <w:rFonts w:hint="default" w:ascii="仿宋" w:hAnsi="仿宋" w:eastAsia="仿宋" w:cs="仿宋"/>
          <w:b/>
          <w:bCs/>
          <w:color w:val="auto"/>
          <w:sz w:val="24"/>
          <w:szCs w:val="24"/>
          <w:lang w:val="en-US" w:eastAsia="zh-CN"/>
        </w:rPr>
      </w:pPr>
      <w:r>
        <w:rPr>
          <w:rFonts w:hint="default" w:ascii="仿宋" w:hAnsi="仿宋" w:eastAsia="仿宋" w:cs="仿宋"/>
          <w:b/>
          <w:bCs/>
          <w:color w:val="auto"/>
          <w:sz w:val="24"/>
          <w:szCs w:val="24"/>
          <w:lang w:val="en-US" w:eastAsia="zh-CN"/>
        </w:rPr>
        <w:t>冷链物流与仓储运输</w:t>
      </w:r>
    </w:p>
    <w:p w14:paraId="36E21A28">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目前，由于</w:t>
      </w:r>
      <w:r>
        <w:rPr>
          <w:rFonts w:hint="default"/>
          <w:sz w:val="24"/>
          <w:szCs w:val="24"/>
          <w:highlight w:val="none"/>
          <w:lang w:val="en-US" w:eastAsia="zh-CN"/>
        </w:rPr>
        <w:t>温度数据采集仪</w:t>
      </w:r>
      <w:r>
        <w:rPr>
          <w:rFonts w:hint="eastAsia"/>
          <w:sz w:val="24"/>
          <w:szCs w:val="24"/>
          <w:highlight w:val="none"/>
          <w:lang w:val="en-US" w:eastAsia="zh-CN"/>
        </w:rPr>
        <w:t>具有全程跟踪、全链条监控的独特优点，使其在医药冷链、食品冷藏、生鲜运输等领域发挥着</w:t>
      </w:r>
      <w:r>
        <w:rPr>
          <w:rFonts w:hint="default"/>
          <w:sz w:val="24"/>
          <w:szCs w:val="24"/>
          <w:highlight w:val="none"/>
          <w:lang w:val="en-US" w:eastAsia="zh-CN"/>
        </w:rPr>
        <w:t>最核心</w:t>
      </w:r>
      <w:r>
        <w:rPr>
          <w:rFonts w:hint="eastAsia"/>
          <w:sz w:val="24"/>
          <w:szCs w:val="24"/>
          <w:highlight w:val="none"/>
          <w:lang w:val="en-US" w:eastAsia="zh-CN"/>
        </w:rPr>
        <w:t>的</w:t>
      </w:r>
      <w:r>
        <w:rPr>
          <w:rFonts w:hint="default"/>
          <w:sz w:val="24"/>
          <w:szCs w:val="24"/>
          <w:highlight w:val="none"/>
          <w:lang w:val="en-US" w:eastAsia="zh-CN"/>
        </w:rPr>
        <w:t>应用</w:t>
      </w:r>
      <w:r>
        <w:rPr>
          <w:rFonts w:hint="eastAsia"/>
          <w:sz w:val="24"/>
          <w:szCs w:val="24"/>
          <w:highlight w:val="none"/>
          <w:lang w:val="en-US" w:eastAsia="zh-CN"/>
        </w:rPr>
        <w:t>价值，如：（1）医药冷链中，需要持续监测疫苗、生物制剂的温度，符合GSP认证规范要求；（2）生鲜食品运输中，记录冷藏车、冷藏仓库的温度数据，出现温度异常可及时报警，为产品质量追溯提供依据。</w:t>
      </w:r>
    </w:p>
    <w:p w14:paraId="0B334719">
      <w:pPr>
        <w:keepNext w:val="0"/>
        <w:keepLines w:val="0"/>
        <w:pageBreakBefore w:val="0"/>
        <w:widowControl w:val="0"/>
        <w:numPr>
          <w:ilvl w:val="0"/>
          <w:numId w:val="6"/>
        </w:numPr>
        <w:tabs>
          <w:tab w:val="left" w:pos="1080"/>
        </w:tabs>
        <w:kinsoku/>
        <w:wordWrap/>
        <w:overflowPunct/>
        <w:topLinePunct w:val="0"/>
        <w:autoSpaceDE/>
        <w:autoSpaceDN/>
        <w:bidi w:val="0"/>
        <w:adjustRightInd/>
        <w:snapToGrid/>
        <w:spacing w:line="300" w:lineRule="auto"/>
        <w:ind w:left="0" w:leftChars="0" w:right="0" w:rightChars="0" w:firstLine="482" w:firstLineChars="200"/>
        <w:textAlignment w:val="auto"/>
        <w:rPr>
          <w:rFonts w:hint="default" w:ascii="仿宋" w:hAnsi="仿宋" w:eastAsia="仿宋" w:cs="仿宋"/>
          <w:b/>
          <w:bCs/>
          <w:color w:val="auto"/>
          <w:sz w:val="24"/>
          <w:szCs w:val="24"/>
          <w:lang w:val="en-US" w:eastAsia="zh-CN"/>
        </w:rPr>
      </w:pPr>
      <w:r>
        <w:rPr>
          <w:rFonts w:hint="default" w:ascii="仿宋" w:hAnsi="仿宋" w:eastAsia="仿宋" w:cs="仿宋"/>
          <w:b/>
          <w:bCs/>
          <w:color w:val="auto"/>
          <w:sz w:val="24"/>
          <w:szCs w:val="24"/>
          <w:lang w:val="en-US" w:eastAsia="zh-CN"/>
        </w:rPr>
        <w:t>环境监测与科研实验</w:t>
      </w:r>
    </w:p>
    <w:p w14:paraId="4C9FC39F">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该应用场景是温度数据采集仪的最早应用领域，在</w:t>
      </w:r>
      <w:r>
        <w:rPr>
          <w:rFonts w:hint="default"/>
          <w:sz w:val="24"/>
          <w:szCs w:val="24"/>
          <w:highlight w:val="none"/>
          <w:lang w:val="en-US" w:eastAsia="zh-CN"/>
        </w:rPr>
        <w:t>农业科研、生态监测、实验室研究</w:t>
      </w:r>
      <w:r>
        <w:rPr>
          <w:rFonts w:hint="eastAsia"/>
          <w:sz w:val="24"/>
          <w:szCs w:val="24"/>
          <w:highlight w:val="none"/>
          <w:lang w:val="en-US" w:eastAsia="zh-CN"/>
        </w:rPr>
        <w:t>等领域一直应用至今。（1）在农业领域，主要应用在监测温室（温度、湿度等参数）、实验室育种，通过监测环境温度和湿度的变化，研究作物的生长规律；（2）在环境生态监测领域，通过对博物馆、洁净室、自然保护区的温度、湿度参数进行长期的记录和监测，为生态的研究治理和文物的保护维修提供可靠的数据；（3）在科研实验领域，在材料测试、物理化学等实验中持续采集温度数据，支持实验过程分析与最终的结论验证等。</w:t>
      </w:r>
    </w:p>
    <w:p w14:paraId="79F5E9EA">
      <w:pPr>
        <w:keepNext w:val="0"/>
        <w:keepLines w:val="0"/>
        <w:pageBreakBefore w:val="0"/>
        <w:widowControl w:val="0"/>
        <w:numPr>
          <w:ilvl w:val="0"/>
          <w:numId w:val="6"/>
        </w:numPr>
        <w:tabs>
          <w:tab w:val="left" w:pos="1080"/>
        </w:tabs>
        <w:kinsoku/>
        <w:wordWrap/>
        <w:overflowPunct/>
        <w:topLinePunct w:val="0"/>
        <w:autoSpaceDE/>
        <w:autoSpaceDN/>
        <w:bidi w:val="0"/>
        <w:adjustRightInd/>
        <w:snapToGrid/>
        <w:spacing w:line="300" w:lineRule="auto"/>
        <w:ind w:left="0" w:leftChars="0" w:right="0" w:rightChars="0" w:firstLine="482" w:firstLineChars="200"/>
        <w:textAlignment w:val="auto"/>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其他应用领域</w:t>
      </w:r>
    </w:p>
    <w:p w14:paraId="165C650C">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随着科学技术的不断进步，温度数据采集仪的应用场景越来越广，在电力能源、医疗生命健康、建筑工程等传统领域，以及在芯片制造、集成电路、量子超导等高端装备领域都有了很多的应用场景。</w:t>
      </w:r>
    </w:p>
    <w:p w14:paraId="166867BF">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温度数据采集仪未来的应用场景非常可观，目前来看今后的应用场景主要集中在新型储能与动力电池、碳足迹追踪与能源管理‌、数据中心与通信基站、城市基础设施监测、智能家居、设备预测性维护以及半导体高端制造等领域。</w:t>
      </w:r>
    </w:p>
    <w:p w14:paraId="087C0717">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eastAsia="黑体"/>
          <w:sz w:val="28"/>
          <w:szCs w:val="28"/>
        </w:rPr>
      </w:pPr>
      <w:r>
        <w:rPr>
          <w:rFonts w:hint="eastAsia" w:eastAsia="黑体"/>
          <w:sz w:val="28"/>
          <w:szCs w:val="28"/>
        </w:rPr>
        <w:t>三、规范起草的技术依据</w:t>
      </w:r>
    </w:p>
    <w:p w14:paraId="34D992DF">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本规范起草的主要技术依据为</w:t>
      </w:r>
      <w:r>
        <w:rPr>
          <w:rFonts w:hint="eastAsia" w:ascii="宋体" w:hAnsi="宋体" w:cs="宋体"/>
          <w:color w:val="000000"/>
          <w:kern w:val="0"/>
          <w:sz w:val="24"/>
        </w:rPr>
        <w:t>JJF 1171-20</w:t>
      </w:r>
      <w:r>
        <w:rPr>
          <w:rFonts w:hint="eastAsia" w:ascii="宋体" w:hAnsi="宋体" w:cs="宋体"/>
          <w:color w:val="000000"/>
          <w:kern w:val="0"/>
          <w:sz w:val="24"/>
          <w:lang w:val="en-US" w:eastAsia="zh-CN"/>
        </w:rPr>
        <w:t>24</w:t>
      </w:r>
      <w:r>
        <w:rPr>
          <w:rFonts w:hint="eastAsia" w:cs="宋体"/>
          <w:color w:val="000000"/>
          <w:kern w:val="0"/>
          <w:sz w:val="24"/>
          <w:lang w:eastAsia="zh-CN"/>
        </w:rPr>
        <w:t>《</w:t>
      </w:r>
      <w:r>
        <w:rPr>
          <w:rFonts w:hint="eastAsia" w:ascii="宋体" w:hAnsi="宋体" w:cs="宋体"/>
          <w:color w:val="000000"/>
          <w:kern w:val="0"/>
          <w:sz w:val="24"/>
          <w:lang w:val="en-US" w:eastAsia="zh-CN"/>
        </w:rPr>
        <w:t>温湿度</w:t>
      </w:r>
      <w:r>
        <w:rPr>
          <w:rFonts w:hint="eastAsia" w:ascii="宋体" w:hAnsi="宋体" w:cs="宋体"/>
          <w:color w:val="000000"/>
          <w:kern w:val="0"/>
          <w:sz w:val="24"/>
        </w:rPr>
        <w:t>巡回检测仪校准规范</w:t>
      </w:r>
      <w:r>
        <w:rPr>
          <w:rFonts w:hint="eastAsia" w:cs="宋体"/>
          <w:color w:val="000000"/>
          <w:kern w:val="0"/>
          <w:sz w:val="24"/>
          <w:lang w:eastAsia="zh-CN"/>
        </w:rPr>
        <w:t>》</w:t>
      </w:r>
      <w:r>
        <w:rPr>
          <w:rFonts w:hint="eastAsia"/>
          <w:sz w:val="24"/>
          <w:szCs w:val="24"/>
          <w:highlight w:val="none"/>
          <w:lang w:val="en-US" w:eastAsia="zh-CN"/>
        </w:rPr>
        <w:t>、</w:t>
      </w:r>
      <w:r>
        <w:rPr>
          <w:rFonts w:hint="eastAsia" w:ascii="宋体" w:hAnsi="宋体" w:cs="宋体"/>
          <w:color w:val="000000"/>
          <w:kern w:val="0"/>
          <w:sz w:val="24"/>
          <w:lang w:val="en-US" w:eastAsia="zh-CN"/>
        </w:rPr>
        <w:t>GB/T 35145-2017</w:t>
      </w:r>
      <w:r>
        <w:rPr>
          <w:rFonts w:hint="eastAsia" w:cs="宋体"/>
          <w:color w:val="000000"/>
          <w:kern w:val="0"/>
          <w:sz w:val="24"/>
          <w:lang w:val="en-US" w:eastAsia="zh-CN"/>
        </w:rPr>
        <w:t>《</w:t>
      </w:r>
      <w:r>
        <w:rPr>
          <w:rFonts w:hint="eastAsia" w:ascii="宋体" w:hAnsi="宋体" w:cs="宋体"/>
          <w:color w:val="000000"/>
          <w:kern w:val="0"/>
          <w:sz w:val="24"/>
          <w:lang w:val="en-US" w:eastAsia="zh-CN"/>
        </w:rPr>
        <w:t>冷链温度记录仪</w:t>
      </w:r>
      <w:r>
        <w:rPr>
          <w:rFonts w:hint="eastAsia" w:cs="宋体"/>
          <w:color w:val="000000"/>
          <w:kern w:val="0"/>
          <w:sz w:val="24"/>
          <w:lang w:val="en-US" w:eastAsia="zh-CN"/>
        </w:rPr>
        <w:t>》</w:t>
      </w:r>
      <w:r>
        <w:rPr>
          <w:rFonts w:hint="eastAsia"/>
          <w:lang w:eastAsia="zh-CN"/>
        </w:rPr>
        <w:t>、</w:t>
      </w:r>
      <w:r>
        <w:rPr>
          <w:rFonts w:hint="eastAsia"/>
        </w:rPr>
        <w:t xml:space="preserve">JJF </w:t>
      </w:r>
      <w:r>
        <w:rPr>
          <w:rFonts w:hint="eastAsia"/>
          <w:lang w:val="en-US" w:eastAsia="zh-CN"/>
        </w:rPr>
        <w:t>1564</w:t>
      </w:r>
      <w:r>
        <w:rPr>
          <w:rFonts w:hint="eastAsia"/>
        </w:rPr>
        <w:t>-201</w:t>
      </w:r>
      <w:r>
        <w:rPr>
          <w:rFonts w:hint="eastAsia"/>
          <w:lang w:val="en-US" w:eastAsia="zh-CN"/>
        </w:rPr>
        <w:t>6</w:t>
      </w:r>
      <w:r>
        <w:rPr>
          <w:rFonts w:hint="eastAsia"/>
          <w:lang w:eastAsia="zh-CN"/>
        </w:rPr>
        <w:t>《</w:t>
      </w:r>
      <w:r>
        <w:rPr>
          <w:rFonts w:hint="eastAsia" w:ascii="宋体" w:hAnsi="宋体" w:cs="宋体"/>
          <w:color w:val="000000"/>
          <w:kern w:val="0"/>
          <w:sz w:val="24"/>
          <w:lang w:val="en-US" w:eastAsia="zh-CN"/>
        </w:rPr>
        <w:t>温湿度标准箱校准规范</w:t>
      </w:r>
      <w:r>
        <w:rPr>
          <w:rFonts w:hint="eastAsia"/>
          <w:lang w:eastAsia="zh-CN"/>
        </w:rPr>
        <w:t>》</w:t>
      </w:r>
      <w:r>
        <w:rPr>
          <w:rFonts w:hint="eastAsia"/>
          <w:lang w:val="en-US" w:eastAsia="zh-CN"/>
        </w:rPr>
        <w:t>和JJF 1101-20XX《</w:t>
      </w:r>
      <w:r>
        <w:rPr>
          <w:rFonts w:hint="eastAsia" w:ascii="宋体" w:hAnsi="宋体" w:cs="宋体"/>
          <w:color w:val="000000"/>
          <w:kern w:val="0"/>
          <w:sz w:val="24"/>
        </w:rPr>
        <w:t>环境试验设备温度、湿度</w:t>
      </w:r>
      <w:r>
        <w:rPr>
          <w:rFonts w:hint="eastAsia" w:ascii="宋体" w:hAnsi="宋体" w:cs="宋体"/>
          <w:color w:val="000000"/>
          <w:kern w:val="0"/>
          <w:sz w:val="24"/>
          <w:lang w:val="en-US" w:eastAsia="zh-CN"/>
        </w:rPr>
        <w:t>参数</w:t>
      </w:r>
      <w:r>
        <w:rPr>
          <w:rFonts w:hint="eastAsia" w:ascii="宋体" w:hAnsi="宋体" w:cs="宋体"/>
          <w:color w:val="000000"/>
          <w:kern w:val="0"/>
          <w:sz w:val="24"/>
        </w:rPr>
        <w:t>校准规范</w:t>
      </w:r>
      <w:r>
        <w:rPr>
          <w:rFonts w:hint="eastAsia"/>
          <w:lang w:val="en-US" w:eastAsia="zh-CN"/>
        </w:rPr>
        <w:t>》</w:t>
      </w:r>
      <w:r>
        <w:rPr>
          <w:rFonts w:hint="eastAsia"/>
          <w:sz w:val="24"/>
          <w:szCs w:val="24"/>
          <w:highlight w:val="none"/>
          <w:lang w:val="en-US" w:eastAsia="zh-CN"/>
        </w:rPr>
        <w:t>等。起草过程中，起草组查阅了大量的国家标准、行业标准及技术规范，在JJF 1366-2012版本基础上，对温度数据采集仪相关技术要求进行了全面的梳理。</w:t>
      </w:r>
    </w:p>
    <w:p w14:paraId="352F287D">
      <w:pPr>
        <w:widowControl/>
        <w:spacing w:line="360" w:lineRule="auto"/>
        <w:ind w:firstLine="451" w:firstLineChars="188"/>
        <w:rPr>
          <w:rFonts w:hint="default"/>
          <w:sz w:val="24"/>
          <w:szCs w:val="24"/>
          <w:highlight w:val="none"/>
          <w:lang w:val="en-US" w:eastAsia="zh-CN"/>
        </w:rPr>
      </w:pPr>
      <w:r>
        <w:rPr>
          <w:rFonts w:hint="eastAsia"/>
          <w:sz w:val="24"/>
          <w:szCs w:val="24"/>
          <w:highlight w:val="none"/>
          <w:lang w:val="en-US" w:eastAsia="zh-CN"/>
        </w:rPr>
        <w:t>同时，在编制过程中，起草组讨论了原规范中包含内置传感器和外置传感器两部分内容，最终删除了内置传感器和外置传感器的分类描述，明确了本规范适用于温度传感器不可拆卸的温度数据采集仪，明确后的温度数据采集仪为主机和传感器一体式，分离式的采集仪可采用</w:t>
      </w:r>
      <w:r>
        <w:rPr>
          <w:rFonts w:hint="eastAsia" w:ascii="宋体" w:hAnsi="宋体" w:cs="宋体"/>
          <w:color w:val="000000"/>
          <w:kern w:val="0"/>
          <w:sz w:val="24"/>
        </w:rPr>
        <w:t>JJF 1171-20</w:t>
      </w:r>
      <w:r>
        <w:rPr>
          <w:rFonts w:hint="eastAsia" w:ascii="宋体" w:hAnsi="宋体" w:cs="宋体"/>
          <w:color w:val="000000"/>
          <w:kern w:val="0"/>
          <w:sz w:val="24"/>
          <w:lang w:val="en-US" w:eastAsia="zh-CN"/>
        </w:rPr>
        <w:t>24</w:t>
      </w:r>
      <w:r>
        <w:rPr>
          <w:rFonts w:hint="eastAsia" w:cs="宋体"/>
          <w:color w:val="000000"/>
          <w:kern w:val="0"/>
          <w:sz w:val="24"/>
          <w:lang w:eastAsia="zh-CN"/>
        </w:rPr>
        <w:t>《</w:t>
      </w:r>
      <w:r>
        <w:rPr>
          <w:rFonts w:hint="eastAsia" w:ascii="宋体" w:hAnsi="宋体" w:cs="宋体"/>
          <w:color w:val="000000"/>
          <w:kern w:val="0"/>
          <w:sz w:val="24"/>
          <w:lang w:val="en-US" w:eastAsia="zh-CN"/>
        </w:rPr>
        <w:t>温湿度</w:t>
      </w:r>
      <w:r>
        <w:rPr>
          <w:rFonts w:hint="eastAsia" w:ascii="宋体" w:hAnsi="宋体" w:cs="宋体"/>
          <w:color w:val="000000"/>
          <w:kern w:val="0"/>
          <w:sz w:val="24"/>
        </w:rPr>
        <w:t>巡回检测仪校准规范</w:t>
      </w:r>
      <w:r>
        <w:rPr>
          <w:rFonts w:hint="eastAsia" w:cs="宋体"/>
          <w:color w:val="000000"/>
          <w:kern w:val="0"/>
          <w:sz w:val="24"/>
          <w:lang w:eastAsia="zh-CN"/>
        </w:rPr>
        <w:t>》</w:t>
      </w:r>
      <w:r>
        <w:rPr>
          <w:rFonts w:hint="eastAsia" w:cs="宋体"/>
          <w:color w:val="000000"/>
          <w:kern w:val="0"/>
          <w:sz w:val="24"/>
          <w:lang w:val="en-US" w:eastAsia="zh-CN"/>
        </w:rPr>
        <w:t>或当作数字温度计来处理。</w:t>
      </w:r>
      <w:r>
        <w:rPr>
          <w:rFonts w:hint="eastAsia"/>
          <w:sz w:val="24"/>
          <w:szCs w:val="24"/>
          <w:highlight w:val="none"/>
          <w:lang w:val="en-US" w:eastAsia="zh-CN"/>
        </w:rPr>
        <w:t>同时，讨论决定将测量范围修改为（-90~+400）℃。</w:t>
      </w:r>
    </w:p>
    <w:p w14:paraId="3E347DD1">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本规范按JJF 1071—2010《国家计量校准规范编写规则》进行编写，与</w:t>
      </w:r>
      <w:r>
        <w:rPr>
          <w:rFonts w:hint="default"/>
          <w:sz w:val="24"/>
          <w:szCs w:val="24"/>
          <w:highlight w:val="none"/>
          <w:lang w:val="en-US" w:eastAsia="zh-CN"/>
        </w:rPr>
        <w:t>JJF 1001</w:t>
      </w:r>
      <w:r>
        <w:rPr>
          <w:rFonts w:hint="eastAsia"/>
          <w:sz w:val="24"/>
          <w:szCs w:val="24"/>
          <w:highlight w:val="none"/>
          <w:lang w:val="en-US" w:eastAsia="zh-CN"/>
        </w:rPr>
        <w:t>—</w:t>
      </w:r>
      <w:r>
        <w:rPr>
          <w:rFonts w:hint="default"/>
          <w:sz w:val="24"/>
          <w:szCs w:val="24"/>
          <w:highlight w:val="none"/>
          <w:lang w:val="en-US" w:eastAsia="zh-CN"/>
        </w:rPr>
        <w:t>2011</w:t>
      </w:r>
      <w:r>
        <w:rPr>
          <w:rFonts w:hint="eastAsia"/>
          <w:sz w:val="24"/>
          <w:szCs w:val="24"/>
          <w:highlight w:val="none"/>
          <w:lang w:val="en-US" w:eastAsia="zh-CN"/>
        </w:rPr>
        <w:t>《通用计量术语及定义》、和JJF 1059.1—2012《测量不确定度评定与表示》共同构成支撑本规范制定工作的基础性系列规范。</w:t>
      </w:r>
    </w:p>
    <w:p w14:paraId="44186388">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eastAsia="黑体"/>
          <w:sz w:val="28"/>
          <w:szCs w:val="28"/>
        </w:rPr>
      </w:pPr>
      <w:r>
        <w:rPr>
          <w:rFonts w:hint="eastAsia" w:eastAsia="黑体"/>
          <w:sz w:val="28"/>
          <w:szCs w:val="28"/>
        </w:rPr>
        <w:t>四、规范起草的过程及计划安排</w:t>
      </w:r>
    </w:p>
    <w:p w14:paraId="2ED04D1A">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起草组根据任务书要求，在《温度数据采集仪校准规范》的修订过程中，参考大量国内外相关文献资料、有关技术依据和标准。针对温度数据采集仪示值误差计量特性，采用恒温槽/恒温箱直接测试、放入空气腔内测试、加工均温块测试和真空袋抽真空测试等多种试验防范，开展了多次试验，积累了大量试验数据；同时对采集仪的记录间隔、发送间隔、超温报警、数据记录完整性和数据记录的连续性的技术要求的给出，采用不同生产厂商的产品也进行了大量的试验论证；另外，针对专用恒温箱温度均匀度和温度波动度的技术要求，起草组采用不同厂家的恒温箱进行了大量的试验验证，积累了大量试验数据。</w:t>
      </w:r>
    </w:p>
    <w:p w14:paraId="2A63C892">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 xml:space="preserve">在以上所有工作的基础上，结合JJF 1366-2012版本，形成了最终的征求意见稿。规范的编制过程如下： </w:t>
      </w:r>
    </w:p>
    <w:p w14:paraId="01F02EA6">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 xml:space="preserve">2025年5月23日，国家市场监督管理总局正式下发规范立项文件，6月浙江省质量科学研究院与秘书处所在单位，中国计量科学研究院签订了计量技术法规制修订合同（编号QGWDJS202501）。 </w:t>
      </w:r>
    </w:p>
    <w:p w14:paraId="648EBD4A">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 xml:space="preserve">2025年6月，浙江省质量科学研究院作为牵头单位正式组建了《温度数据采集仪校准规范》编制组，确定各起草人员的分工及总体进度安排。 </w:t>
      </w:r>
    </w:p>
    <w:p w14:paraId="69292EB2">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2025年7月~9月，通过与生产厂家、用户沟通，调研温度数据采集仪和恒温设备的生产厂家的生产情况、出厂试验情况、现场使用情况、周期测试情况等，就温度数据采集仪的技术指标、校准关键参数和功能检查需求等进行了搜集和整理。</w:t>
      </w:r>
    </w:p>
    <w:p w14:paraId="1812EC2C">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 xml:space="preserve">2025年9月中旬，起草组成员共同完成初稿编制，并在广东汕头召开了技术研讨会，编制组对规范的适用范围（一体式与分体式）、校准项目、校准方法（均温块法、腔体法、抽真空法等）、恒温箱温度均匀度和温度波动度的测试验证方法以及不确定度评定进行了技术研讨，同时对后期试验安排、试验分工和数据整理进行了统一部署。 </w:t>
      </w:r>
    </w:p>
    <w:p w14:paraId="7E0F6643">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 xml:space="preserve">2025年10月~12月，起草小组对初稿进行多次讨论，并对初稿进行了多次修改，形成校准规范讨论稿。 </w:t>
      </w:r>
    </w:p>
    <w:p w14:paraId="274DD08B">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 xml:space="preserve">2026年1月~3月，起草小组针对规范讨论稿中恒温箱温度均匀度和温度波动度的测试验证方法、抽真空与在不抽真空的校准结果对比、加均温块与不加均温块的校准结果对比以及腔体法存在记录仪自身发热导致的温场偏离等核心问题进行了多次探讨，同时补做了相关试验，完善了讨论稿。 </w:t>
      </w:r>
    </w:p>
    <w:p w14:paraId="70D8AA6E">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2026年4月，起草小组赶赴中国测试技术研究院，采用规范中规定的测试方法，对一台-90℃超低温恒温箱的温度均匀度和温度波动度进行了现场测试验证，同时对抽真空法的校准结果与直接校准法的校准结果进行了比对，得到了满意的比对结果。</w:t>
      </w:r>
    </w:p>
    <w:p w14:paraId="24BB2208">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2025年5月，起草小组完善规范，形成征求意见稿。</w:t>
      </w:r>
    </w:p>
    <w:p w14:paraId="4A137997">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eastAsia="黑体"/>
          <w:sz w:val="28"/>
          <w:szCs w:val="28"/>
        </w:rPr>
      </w:pPr>
      <w:r>
        <w:rPr>
          <w:rFonts w:hint="eastAsia" w:eastAsia="黑体"/>
          <w:sz w:val="28"/>
          <w:szCs w:val="28"/>
        </w:rPr>
        <w:t>五、规范主要制定内容</w:t>
      </w:r>
    </w:p>
    <w:p w14:paraId="20634111">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本规范为JJF 1366-2012版本的修订版本，规范起草组成员调研了多家温度数据采集仪的生产、研发及使用单位，如泰安磐然测控科技有限公司、汕头迪威普科技有限公司、杭州派乐科技有限公司、产越（上海）电子科技有限公司等，同时调研了多家恒温设备的生产厂家，如湖州唯立仪表科技有限公司、北京康斯特仪表科技股份有限公司、杭州雪中炭恒温技术有限公司等。综合了温度数据采集仪的结构原理、技术指标及计量特性，采纳了多家单位建议，同时参考了相关的国际标准、国家标准、行业标准及技术规范等，制定了检测机构和生产使用单位普遍适用的校准方法。内容的编制遵循技术法规的科学性、先进性和可操作性原则。</w:t>
      </w:r>
    </w:p>
    <w:p w14:paraId="1F951BB7">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修订后的《温度数据采集仪校准规范》的主要内容与上一版本相比，基本框架没有发生变化，包括：封面、扉页、目录、引言、范围、引用文件、术语、概述、计量特性、校准条件、校准项目和校准方法、校准结果表达、复校时间间隔、附录等。其具体内容符合 JJF 1071-2010《国家计量校准规范编写规则》的要求。其主要内容说明如下：</w:t>
      </w:r>
    </w:p>
    <w:p w14:paraId="36550297">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5.1 范围</w:t>
      </w:r>
    </w:p>
    <w:p w14:paraId="43365A4A">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ascii="宋体" w:hAnsi="宋体" w:eastAsia="宋体" w:cs="宋体"/>
          <w:sz w:val="24"/>
          <w:szCs w:val="24"/>
          <w:highlight w:val="none"/>
        </w:rPr>
        <w:t>本规范适用于测量范围为</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-90~+400</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℃、温度传感器不可拆卸的温度数据采集仪示值误差的校准。</w:t>
      </w:r>
    </w:p>
    <w:p w14:paraId="108E6397">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5.2 引用文件</w:t>
      </w:r>
    </w:p>
    <w:p w14:paraId="1F2D2171">
      <w:pPr>
        <w:widowControl/>
        <w:spacing w:line="360" w:lineRule="auto"/>
        <w:ind w:firstLine="480" w:firstLineChars="200"/>
        <w:jc w:val="left"/>
        <w:rPr>
          <w:rFonts w:hint="eastAsia"/>
          <w:sz w:val="24"/>
          <w:szCs w:val="24"/>
          <w:highlight w:val="none"/>
          <w:lang w:val="en-US" w:eastAsia="zh-CN"/>
        </w:rPr>
      </w:pPr>
      <w:r>
        <w:rPr>
          <w:rFonts w:hint="eastAsia"/>
          <w:sz w:val="24"/>
          <w:szCs w:val="24"/>
          <w:highlight w:val="none"/>
          <w:lang w:val="en-US" w:eastAsia="zh-CN"/>
        </w:rPr>
        <w:t>主要包括JJF 1007-2026 温度计量名词及定义、</w:t>
      </w:r>
      <w:r>
        <w:rPr>
          <w:rFonts w:hint="eastAsia" w:ascii="宋体" w:hAnsi="宋体" w:cs="宋体"/>
          <w:color w:val="000000"/>
          <w:kern w:val="0"/>
          <w:sz w:val="24"/>
        </w:rPr>
        <w:t>JJF 1030-20</w:t>
      </w:r>
      <w:r>
        <w:rPr>
          <w:rFonts w:hint="eastAsia" w:ascii="宋体" w:hAnsi="宋体" w:cs="宋体"/>
          <w:color w:val="000000"/>
          <w:kern w:val="0"/>
          <w:sz w:val="24"/>
          <w:lang w:val="en-US" w:eastAsia="zh-CN"/>
        </w:rPr>
        <w:t>23</w:t>
      </w: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温度校准用</w:t>
      </w:r>
      <w:r>
        <w:rPr>
          <w:rFonts w:hint="eastAsia" w:ascii="宋体" w:hAnsi="宋体" w:cs="宋体"/>
          <w:color w:val="000000"/>
          <w:kern w:val="0"/>
          <w:sz w:val="24"/>
        </w:rPr>
        <w:t>恒温槽技术性能测试规范</w:t>
      </w:r>
      <w:r>
        <w:rPr>
          <w:rFonts w:hint="eastAsia" w:cs="宋体"/>
          <w:color w:val="000000"/>
          <w:kern w:val="0"/>
          <w:sz w:val="24"/>
          <w:lang w:eastAsia="zh-CN"/>
        </w:rPr>
        <w:t>、</w:t>
      </w:r>
      <w:r>
        <w:rPr>
          <w:rFonts w:hint="eastAsia" w:ascii="宋体" w:hAnsi="宋体" w:cs="宋体"/>
          <w:color w:val="000000"/>
          <w:kern w:val="0"/>
          <w:sz w:val="24"/>
        </w:rPr>
        <w:t>JJF 1101-20</w:t>
      </w:r>
      <w:r>
        <w:rPr>
          <w:rFonts w:hint="eastAsia" w:ascii="宋体" w:hAnsi="宋体" w:cs="宋体"/>
          <w:color w:val="000000"/>
          <w:kern w:val="0"/>
          <w:sz w:val="24"/>
          <w:lang w:val="en-US" w:eastAsia="zh-CN"/>
        </w:rPr>
        <w:t>XX</w:t>
      </w:r>
      <w:r>
        <w:rPr>
          <w:rFonts w:hint="eastAsia" w:ascii="宋体" w:hAnsi="宋体" w:cs="宋体"/>
          <w:color w:val="000000"/>
          <w:kern w:val="0"/>
          <w:sz w:val="24"/>
        </w:rPr>
        <w:t xml:space="preserve"> 环境试验设备温度、湿度</w:t>
      </w:r>
      <w:r>
        <w:rPr>
          <w:rFonts w:hint="eastAsia" w:ascii="宋体" w:hAnsi="宋体" w:cs="宋体"/>
          <w:color w:val="000000"/>
          <w:kern w:val="0"/>
          <w:sz w:val="24"/>
          <w:lang w:val="en-US" w:eastAsia="zh-CN"/>
        </w:rPr>
        <w:t>参数</w:t>
      </w:r>
      <w:r>
        <w:rPr>
          <w:rFonts w:hint="eastAsia" w:ascii="宋体" w:hAnsi="宋体" w:cs="宋体"/>
          <w:color w:val="000000"/>
          <w:kern w:val="0"/>
          <w:sz w:val="24"/>
        </w:rPr>
        <w:t>校准规范</w:t>
      </w:r>
      <w:r>
        <w:rPr>
          <w:rFonts w:hint="eastAsia" w:cs="宋体"/>
          <w:color w:val="000000"/>
          <w:kern w:val="0"/>
          <w:sz w:val="24"/>
          <w:lang w:eastAsia="zh-CN"/>
        </w:rPr>
        <w:t>、</w:t>
      </w:r>
      <w:r>
        <w:rPr>
          <w:rFonts w:hint="eastAsia" w:ascii="宋体" w:hAnsi="宋体" w:cs="宋体"/>
          <w:color w:val="000000"/>
          <w:kern w:val="0"/>
          <w:sz w:val="24"/>
        </w:rPr>
        <w:t>JJF 1171-20</w:t>
      </w:r>
      <w:r>
        <w:rPr>
          <w:rFonts w:hint="eastAsia" w:ascii="宋体" w:hAnsi="宋体" w:cs="宋体"/>
          <w:color w:val="000000"/>
          <w:kern w:val="0"/>
          <w:sz w:val="24"/>
          <w:lang w:val="en-US" w:eastAsia="zh-CN"/>
        </w:rPr>
        <w:t>24</w:t>
      </w: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温湿度</w:t>
      </w:r>
      <w:r>
        <w:rPr>
          <w:rFonts w:hint="eastAsia" w:ascii="宋体" w:hAnsi="宋体" w:cs="宋体"/>
          <w:color w:val="000000"/>
          <w:kern w:val="0"/>
          <w:sz w:val="24"/>
        </w:rPr>
        <w:t>巡回检测仪校准规范</w:t>
      </w:r>
      <w:r>
        <w:rPr>
          <w:rFonts w:hint="eastAsia" w:cs="宋体"/>
          <w:color w:val="000000"/>
          <w:kern w:val="0"/>
          <w:sz w:val="24"/>
          <w:lang w:eastAsia="zh-CN"/>
        </w:rPr>
        <w:t>、</w:t>
      </w:r>
      <w:r>
        <w:rPr>
          <w:rFonts w:hint="eastAsia" w:ascii="宋体" w:hAnsi="宋体" w:cs="宋体"/>
          <w:color w:val="000000"/>
          <w:kern w:val="0"/>
          <w:sz w:val="24"/>
          <w:lang w:val="en-US" w:eastAsia="zh-CN"/>
        </w:rPr>
        <w:t>JJF 1564-2016 温湿度标准箱校准规范</w:t>
      </w:r>
      <w:r>
        <w:rPr>
          <w:rFonts w:hint="eastAsia" w:cs="宋体"/>
          <w:color w:val="000000"/>
          <w:kern w:val="0"/>
          <w:sz w:val="24"/>
          <w:lang w:val="en-US" w:eastAsia="zh-CN"/>
        </w:rPr>
        <w:t>、</w:t>
      </w:r>
      <w:r>
        <w:rPr>
          <w:rFonts w:hint="eastAsia" w:ascii="宋体" w:hAnsi="宋体" w:cs="宋体"/>
          <w:color w:val="000000"/>
          <w:kern w:val="0"/>
          <w:sz w:val="24"/>
          <w:lang w:val="en-US" w:eastAsia="zh-CN"/>
        </w:rPr>
        <w:t>GB/T 35145-2017 冷链温度记录仪</w:t>
      </w:r>
      <w:r>
        <w:rPr>
          <w:rFonts w:hint="eastAsia"/>
          <w:sz w:val="24"/>
          <w:szCs w:val="24"/>
          <w:highlight w:val="none"/>
          <w:lang w:val="en-US" w:eastAsia="zh-CN"/>
        </w:rPr>
        <w:t>等。</w:t>
      </w:r>
    </w:p>
    <w:p w14:paraId="418F4244">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5.3 术语</w:t>
      </w:r>
    </w:p>
    <w:p w14:paraId="2FEDFD33">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对规范中使用的名词术语引用JJF 1007-2026《温度计量名词术语及定义》和JJF 1366-2012版本中的术语，并对其进行了必要的修改。同时增加了“有源温度传感器”和“无源温度传感器”的术语定义。</w:t>
      </w:r>
    </w:p>
    <w:p w14:paraId="581766D7">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5.4 概述</w:t>
      </w:r>
    </w:p>
    <w:p w14:paraId="14D133BB">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对温度数据采集仪的结构、原理、用途、分类和使用场景等情况进行了简要介绍。</w:t>
      </w:r>
    </w:p>
    <w:p w14:paraId="38BA3672">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5.5 计量特性</w:t>
      </w:r>
    </w:p>
    <w:p w14:paraId="34C37B59">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规定了温度数据采集仪的计量性能包括：示值误差、记录间隔、发送间隔、超温报警、数据记录完整性和数据记录的连续性。同时明确了示值误差为校准项目，其他项目为功能检查项目。</w:t>
      </w:r>
    </w:p>
    <w:p w14:paraId="2F4112F2">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5.6 校准条件</w:t>
      </w:r>
    </w:p>
    <w:p w14:paraId="01E3CD52">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规定了校准时的环境条件、供电条件以及标准器的要求。</w:t>
      </w:r>
    </w:p>
    <w:p w14:paraId="53FC4F66">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ascii="宋体" w:hAnsi="宋体"/>
          <w:sz w:val="24"/>
        </w:rPr>
      </w:pPr>
      <w:r>
        <w:rPr>
          <w:rFonts w:hint="eastAsia"/>
          <w:sz w:val="24"/>
          <w:szCs w:val="24"/>
          <w:highlight w:val="none"/>
          <w:lang w:val="en-US" w:eastAsia="zh-CN"/>
        </w:rPr>
        <w:t>环境条件：环境温度（20±5）℃；环境湿度不大于85%RH；校准场所内应无强烈振动、外磁场（地磁场除外）和其它冷、热源的影响。</w:t>
      </w:r>
      <w:r>
        <w:rPr>
          <w:rFonts w:hint="eastAsia" w:ascii="宋体" w:hAnsi="宋体"/>
          <w:sz w:val="24"/>
        </w:rPr>
        <w:t>环境条件还应满足</w:t>
      </w:r>
      <w:r>
        <w:rPr>
          <w:rFonts w:hint="eastAsia" w:ascii="宋体" w:hAnsi="宋体"/>
          <w:sz w:val="24"/>
          <w:lang w:val="en-US" w:eastAsia="zh-CN"/>
        </w:rPr>
        <w:t>电测设备的其他</w:t>
      </w:r>
      <w:r>
        <w:rPr>
          <w:rFonts w:hint="eastAsia" w:ascii="宋体" w:hAnsi="宋体"/>
          <w:sz w:val="24"/>
        </w:rPr>
        <w:t>使用要求。</w:t>
      </w:r>
    </w:p>
    <w:p w14:paraId="71C8D433">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供电条件：供电电源应符合被校采集仪、测量标准及恒温设备的正常工作要求。</w:t>
      </w:r>
    </w:p>
    <w:p w14:paraId="280C01F0">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校准所用的测量标准测量范围和仪器类型为一般要求，具体包括铂电阻温度计、电测设备、恒温设备和秒表等，并对其技术指标提出了明确的技术要求。同时，对定了选用原则：校准时用的测量标准、电测设备以及配套设备引入的扩展不确定度换算成温度值应不大于被校采集仪允差的1/3。</w:t>
      </w:r>
    </w:p>
    <w:p w14:paraId="4A5FE4B7">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5.7 校准项目和校准方法</w:t>
      </w:r>
    </w:p>
    <w:p w14:paraId="443D5A8A">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校准项目：示值误差，与JJF 1366-2012版本基本一致；</w:t>
      </w:r>
    </w:p>
    <w:p w14:paraId="3BEE5142">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default"/>
          <w:sz w:val="24"/>
          <w:szCs w:val="24"/>
          <w:highlight w:val="none"/>
          <w:lang w:val="en-US" w:eastAsia="zh-CN"/>
        </w:rPr>
      </w:pPr>
      <w:r>
        <w:rPr>
          <w:rFonts w:hint="eastAsia"/>
          <w:sz w:val="24"/>
          <w:szCs w:val="24"/>
          <w:highlight w:val="none"/>
          <w:lang w:val="en-US" w:eastAsia="zh-CN"/>
        </w:rPr>
        <w:t>检查项目：记录间隔、发送间隔、超温报警、数据记录完整性和数据记录的连续性，在JJF 1366-2012版本基础上做了部分修改和增加。</w:t>
      </w:r>
      <w:bookmarkStart w:id="0" w:name="_GoBack"/>
      <w:bookmarkEnd w:id="0"/>
    </w:p>
    <w:p w14:paraId="7481591A">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5.8 校准结果表达</w:t>
      </w:r>
    </w:p>
    <w:p w14:paraId="50415403">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校准结果表达根据JJF 1071—2010《国家计量校准规范编写规则》要求进行描述，并进行了适当的修改。</w:t>
      </w:r>
    </w:p>
    <w:p w14:paraId="214432DB">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5.9 复校时间间隔</w:t>
      </w:r>
    </w:p>
    <w:p w14:paraId="1842E744">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建议复校时间间隔为1年，使用特别频繁时应适当缩短。在使用过程中经过修理、更换重要元器件等的一般需重新测试。</w:t>
      </w:r>
    </w:p>
    <w:p w14:paraId="5F0E4AB5">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复校时间间隔是由仪器的使用情况、仪器本身质量等诸因素所决定的，因此，送校单位可根据实际使用情况自主决定复校时间间隔。</w:t>
      </w:r>
    </w:p>
    <w:p w14:paraId="505FD180">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5.10 附录</w:t>
      </w:r>
    </w:p>
    <w:p w14:paraId="06F50275">
      <w:pPr>
        <w:pStyle w:val="5"/>
        <w:keepNext w:val="0"/>
        <w:keepLines w:val="0"/>
        <w:pageBreakBefore w:val="0"/>
        <w:widowControl w:val="0"/>
        <w:kinsoku/>
        <w:wordWrap/>
        <w:overflowPunct/>
        <w:topLinePunct w:val="0"/>
        <w:autoSpaceDE w:val="0"/>
        <w:autoSpaceDN w:val="0"/>
        <w:bidi w:val="0"/>
        <w:adjustRightInd/>
        <w:snapToGrid/>
        <w:spacing w:before="40" w:after="0" w:line="360" w:lineRule="auto"/>
        <w:ind w:left="0" w:right="0" w:firstLine="480" w:firstLineChars="200"/>
        <w:jc w:val="both"/>
        <w:textAlignment w:val="auto"/>
        <w:rPr>
          <w:rFonts w:hint="eastAsia"/>
          <w:sz w:val="24"/>
          <w:szCs w:val="24"/>
          <w:highlight w:val="none"/>
          <w:lang w:val="en-US" w:eastAsia="zh-CN"/>
        </w:rPr>
      </w:pPr>
      <w:r>
        <w:rPr>
          <w:rFonts w:hint="eastAsia"/>
          <w:sz w:val="24"/>
          <w:szCs w:val="24"/>
          <w:highlight w:val="none"/>
          <w:lang w:val="en-US" w:eastAsia="zh-CN"/>
        </w:rPr>
        <w:t>包括校准原始记录格式、证书内页格式、不确定度评定示例、专用恒温箱验证方法、恒温箱中增加均温块方法、恒温槽中增加空气腔方法和抽真空方法等内容。</w:t>
      </w:r>
    </w:p>
    <w:p w14:paraId="6F11ACCC">
      <w:pPr>
        <w:pStyle w:val="5"/>
        <w:spacing w:before="1" w:line="364" w:lineRule="auto"/>
        <w:ind w:right="216" w:firstLine="479"/>
        <w:rPr>
          <w:rFonts w:hint="eastAsia"/>
          <w:spacing w:val="-9"/>
          <w:lang w:val="en-US" w:eastAsia="zh-CN"/>
        </w:rPr>
      </w:pPr>
    </w:p>
    <w:p w14:paraId="0D77AF66">
      <w:pPr>
        <w:widowControl/>
        <w:spacing w:line="360" w:lineRule="auto"/>
        <w:jc w:val="right"/>
      </w:pPr>
      <w:r>
        <w:rPr>
          <w:rFonts w:hint="eastAsia" w:ascii="宋体" w:hAnsi="宋体" w:cs="宋体"/>
          <w:kern w:val="0"/>
          <w:sz w:val="24"/>
          <w:lang w:bidi="ar"/>
        </w:rPr>
        <w:t>《</w:t>
      </w:r>
      <w:r>
        <w:rPr>
          <w:rFonts w:hint="eastAsia" w:cs="宋体"/>
          <w:kern w:val="0"/>
          <w:sz w:val="24"/>
          <w:lang w:val="en-US" w:eastAsia="zh-CN" w:bidi="ar"/>
        </w:rPr>
        <w:t>温度数据采集仪校准规范</w:t>
      </w:r>
      <w:r>
        <w:rPr>
          <w:rFonts w:hint="eastAsia" w:ascii="宋体" w:hAnsi="宋体" w:cs="宋体"/>
          <w:kern w:val="0"/>
          <w:sz w:val="24"/>
          <w:lang w:bidi="ar"/>
        </w:rPr>
        <w:t xml:space="preserve">》编写工作组 </w:t>
      </w:r>
    </w:p>
    <w:p w14:paraId="1725A532">
      <w:pPr>
        <w:widowControl/>
        <w:spacing w:line="360" w:lineRule="auto"/>
        <w:jc w:val="right"/>
        <w:rPr>
          <w:rFonts w:hint="eastAsia" w:ascii="宋体" w:hAnsi="宋体" w:cs="宋体"/>
          <w:kern w:val="0"/>
          <w:sz w:val="24"/>
          <w:lang w:bidi="ar"/>
        </w:rPr>
      </w:pPr>
      <w:r>
        <w:rPr>
          <w:rFonts w:hint="eastAsia" w:ascii="宋体" w:hAnsi="宋体" w:cs="宋体"/>
          <w:kern w:val="0"/>
          <w:sz w:val="24"/>
          <w:lang w:bidi="ar"/>
        </w:rPr>
        <w:t>202</w:t>
      </w:r>
      <w:r>
        <w:rPr>
          <w:rFonts w:hint="eastAsia" w:cs="宋体"/>
          <w:kern w:val="0"/>
          <w:sz w:val="24"/>
          <w:lang w:val="en-US" w:eastAsia="zh-CN" w:bidi="ar"/>
        </w:rPr>
        <w:t>6</w:t>
      </w:r>
      <w:r>
        <w:rPr>
          <w:rFonts w:hint="eastAsia" w:ascii="宋体" w:hAnsi="宋体" w:cs="宋体"/>
          <w:kern w:val="0"/>
          <w:sz w:val="24"/>
          <w:lang w:bidi="ar"/>
        </w:rPr>
        <w:t>年</w:t>
      </w:r>
      <w:r>
        <w:rPr>
          <w:rFonts w:hint="eastAsia" w:cs="宋体"/>
          <w:kern w:val="0"/>
          <w:sz w:val="24"/>
          <w:lang w:val="en-US" w:eastAsia="zh-CN" w:bidi="ar"/>
        </w:rPr>
        <w:t>0</w:t>
      </w:r>
      <w:r>
        <w:rPr>
          <w:rFonts w:hint="eastAsia" w:ascii="宋体" w:hAnsi="宋体" w:cs="宋体"/>
          <w:kern w:val="0"/>
          <w:sz w:val="24"/>
          <w:lang w:val="en-US" w:eastAsia="zh-CN" w:bidi="ar"/>
        </w:rPr>
        <w:t>5</w:t>
      </w:r>
      <w:r>
        <w:rPr>
          <w:rFonts w:hint="eastAsia" w:ascii="宋体" w:hAnsi="宋体" w:cs="宋体"/>
          <w:kern w:val="0"/>
          <w:sz w:val="24"/>
          <w:lang w:bidi="ar"/>
        </w:rPr>
        <w:t>月</w:t>
      </w:r>
    </w:p>
    <w:p w14:paraId="2968DC0D">
      <w:pPr>
        <w:pStyle w:val="5"/>
        <w:spacing w:before="1" w:line="364" w:lineRule="auto"/>
        <w:ind w:right="216" w:firstLine="479"/>
        <w:rPr>
          <w:rFonts w:hint="default"/>
          <w:spacing w:val="-9"/>
          <w:lang w:val="en-US" w:eastAsia="zh-CN"/>
        </w:rPr>
      </w:pPr>
    </w:p>
    <w:sectPr>
      <w:pgSz w:w="11910" w:h="16840"/>
      <w:pgMar w:top="1460" w:right="1580" w:bottom="1380" w:left="1680" w:header="0" w:footer="119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18C0A">
    <w:pPr>
      <w:pStyle w:val="5"/>
      <w:spacing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3713480</wp:posOffset>
              </wp:positionH>
              <wp:positionV relativeFrom="page">
                <wp:posOffset>9793605</wp:posOffset>
              </wp:positionV>
              <wp:extent cx="134620" cy="13970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134620" cy="139700"/>
                      </a:xfrm>
                      <a:prstGeom prst="rect">
                        <a:avLst/>
                      </a:prstGeom>
                      <a:noFill/>
                      <a:ln>
                        <a:noFill/>
                      </a:ln>
                    </wps:spPr>
                    <wps:txbx>
                      <w:txbxContent>
                        <w:p w14:paraId="532E40FE">
                          <w:pPr>
                            <w:spacing w:line="203" w:lineRule="exact"/>
                            <w:ind w:left="60"/>
                            <w:rPr>
                              <w:rFonts w:ascii="Calibri"/>
                              <w:sz w:val="18"/>
                            </w:rPr>
                          </w:pPr>
                          <w:r>
                            <w:fldChar w:fldCharType="begin"/>
                          </w:r>
                          <w:r>
                            <w:rPr>
                              <w:rFonts w:ascii="Calibri"/>
                              <w:sz w:val="18"/>
                            </w:rPr>
                            <w:instrText xml:space="preserve"> PAGE </w:instrText>
                          </w:r>
                          <w:r>
                            <w:fldChar w:fldCharType="separate"/>
                          </w:r>
                          <w:r>
                            <w:t>3</w:t>
                          </w:r>
                          <w:r>
                            <w:fldChar w:fldCharType="end"/>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92.4pt;margin-top:771.15pt;height:11pt;width:10.6pt;mso-position-horizontal-relative:page;mso-position-vertical-relative:page;z-index:-251657216;mso-width-relative:page;mso-height-relative:page;" filled="f" stroked="f" coordsize="21600,21600" o:gfxdata="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JSIo7naAAAADQEAAA8AAAAAAAAAAQAgAAAAIgAAAGRycy9kb3ducmV2&#10;LnhtbFBLAQIUABQAAAAIAIdO4kBsOzus+gEAAAMEAAAOAAAAAAAAAAEAIAAAACkBAABkcnMvZTJv&#10;RG9jLnhtbFBLBQYAAAAABgAGAFkBAACVBQAAAAA=&#10;">
              <v:fill on="f" focussize="0,0"/>
              <v:stroke on="f"/>
              <v:imagedata o:title=""/>
              <o:lock v:ext="edit" aspectratio="f"/>
              <v:textbox inset="0mm,0mm,0mm,0mm">
                <w:txbxContent>
                  <w:p w14:paraId="532E40FE">
                    <w:pPr>
                      <w:spacing w:line="203" w:lineRule="exact"/>
                      <w:ind w:left="60"/>
                      <w:rPr>
                        <w:rFonts w:ascii="Calibri"/>
                        <w:sz w:val="18"/>
                      </w:rPr>
                    </w:pPr>
                    <w:r>
                      <w:fldChar w:fldCharType="begin"/>
                    </w:r>
                    <w:r>
                      <w:rPr>
                        <w:rFonts w:ascii="Calibri"/>
                        <w:sz w:val="18"/>
                      </w:rPr>
                      <w:instrText xml:space="preserve"> PAGE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151E46"/>
    <w:multiLevelType w:val="singleLevel"/>
    <w:tmpl w:val="91151E46"/>
    <w:lvl w:ilvl="0" w:tentative="0">
      <w:start w:val="1"/>
      <w:numFmt w:val="decimal"/>
      <w:suff w:val="space"/>
      <w:lvlText w:val="%1."/>
      <w:lvlJc w:val="left"/>
    </w:lvl>
  </w:abstractNum>
  <w:abstractNum w:abstractNumId="1">
    <w:nsid w:val="B2D6BF69"/>
    <w:multiLevelType w:val="singleLevel"/>
    <w:tmpl w:val="B2D6BF69"/>
    <w:lvl w:ilvl="0" w:tentative="0">
      <w:start w:val="1"/>
      <w:numFmt w:val="decimal"/>
      <w:suff w:val="space"/>
      <w:lvlText w:val="%1."/>
      <w:lvlJc w:val="left"/>
    </w:lvl>
  </w:abstractNum>
  <w:abstractNum w:abstractNumId="2">
    <w:nsid w:val="D53EC0CF"/>
    <w:multiLevelType w:val="singleLevel"/>
    <w:tmpl w:val="D53EC0CF"/>
    <w:lvl w:ilvl="0" w:tentative="0">
      <w:start w:val="1"/>
      <w:numFmt w:val="decimal"/>
      <w:suff w:val="nothing"/>
      <w:lvlText w:val="（%1）"/>
      <w:lvlJc w:val="left"/>
    </w:lvl>
  </w:abstractNum>
  <w:abstractNum w:abstractNumId="3">
    <w:nsid w:val="E12E2AC5"/>
    <w:multiLevelType w:val="singleLevel"/>
    <w:tmpl w:val="E12E2AC5"/>
    <w:lvl w:ilvl="0" w:tentative="0">
      <w:start w:val="1"/>
      <w:numFmt w:val="decimal"/>
      <w:suff w:val="nothing"/>
      <w:lvlText w:val="（%1）"/>
      <w:lvlJc w:val="left"/>
    </w:lvl>
  </w:abstractNum>
  <w:abstractNum w:abstractNumId="4">
    <w:nsid w:val="E5DBEE63"/>
    <w:multiLevelType w:val="singleLevel"/>
    <w:tmpl w:val="E5DBEE63"/>
    <w:lvl w:ilvl="0" w:tentative="0">
      <w:start w:val="1"/>
      <w:numFmt w:val="decimal"/>
      <w:suff w:val="space"/>
      <w:lvlText w:val="%1."/>
      <w:lvlJc w:val="left"/>
    </w:lvl>
  </w:abstractNum>
  <w:abstractNum w:abstractNumId="5">
    <w:nsid w:val="F2B545D2"/>
    <w:multiLevelType w:val="singleLevel"/>
    <w:tmpl w:val="F2B545D2"/>
    <w:lvl w:ilvl="0" w:tentative="0">
      <w:start w:val="1"/>
      <w:numFmt w:val="decimal"/>
      <w:suff w:val="space"/>
      <w:lvlText w:val="%1."/>
      <w:lvlJc w:val="left"/>
    </w:lvl>
  </w:abstractNum>
  <w:num w:numId="1">
    <w:abstractNumId w:val="4"/>
  </w:num>
  <w:num w:numId="2">
    <w:abstractNumId w:val="0"/>
  </w:num>
  <w:num w:numId="3">
    <w:abstractNumId w:val="5"/>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297"/>
    <w:rsid w:val="000B30D9"/>
    <w:rsid w:val="000C359C"/>
    <w:rsid w:val="000F287C"/>
    <w:rsid w:val="00183529"/>
    <w:rsid w:val="001B2781"/>
    <w:rsid w:val="00247343"/>
    <w:rsid w:val="0025318A"/>
    <w:rsid w:val="003631C0"/>
    <w:rsid w:val="004963F1"/>
    <w:rsid w:val="00561588"/>
    <w:rsid w:val="00635A7C"/>
    <w:rsid w:val="00652DB1"/>
    <w:rsid w:val="00672007"/>
    <w:rsid w:val="006F0024"/>
    <w:rsid w:val="006F0251"/>
    <w:rsid w:val="0074017D"/>
    <w:rsid w:val="0075742D"/>
    <w:rsid w:val="007661ED"/>
    <w:rsid w:val="00821AA0"/>
    <w:rsid w:val="00916297"/>
    <w:rsid w:val="009957A5"/>
    <w:rsid w:val="00A32CDF"/>
    <w:rsid w:val="00BA7CA7"/>
    <w:rsid w:val="00C55DA3"/>
    <w:rsid w:val="00D658BE"/>
    <w:rsid w:val="00EF3195"/>
    <w:rsid w:val="00F22FE9"/>
    <w:rsid w:val="00F9141C"/>
    <w:rsid w:val="00FA1CE2"/>
    <w:rsid w:val="02227B88"/>
    <w:rsid w:val="029167E5"/>
    <w:rsid w:val="02CB619B"/>
    <w:rsid w:val="037759DB"/>
    <w:rsid w:val="04161698"/>
    <w:rsid w:val="041B3C4C"/>
    <w:rsid w:val="05542478"/>
    <w:rsid w:val="0676641E"/>
    <w:rsid w:val="078057A6"/>
    <w:rsid w:val="09491BC8"/>
    <w:rsid w:val="09D27E0F"/>
    <w:rsid w:val="09ED4C49"/>
    <w:rsid w:val="0A79028B"/>
    <w:rsid w:val="0A8729A8"/>
    <w:rsid w:val="0AA23CAA"/>
    <w:rsid w:val="0C970E9C"/>
    <w:rsid w:val="0D8A1F3D"/>
    <w:rsid w:val="0D984ECC"/>
    <w:rsid w:val="0DC50BB6"/>
    <w:rsid w:val="0E370B89"/>
    <w:rsid w:val="117F087D"/>
    <w:rsid w:val="11BA18B5"/>
    <w:rsid w:val="131274CE"/>
    <w:rsid w:val="131B2827"/>
    <w:rsid w:val="135E0459"/>
    <w:rsid w:val="13FF7F99"/>
    <w:rsid w:val="144B0EEA"/>
    <w:rsid w:val="148B0641"/>
    <w:rsid w:val="14E1184E"/>
    <w:rsid w:val="162D4D4B"/>
    <w:rsid w:val="166E0EC0"/>
    <w:rsid w:val="16846935"/>
    <w:rsid w:val="172D0D7B"/>
    <w:rsid w:val="17AC1CA0"/>
    <w:rsid w:val="18DC0363"/>
    <w:rsid w:val="195720DF"/>
    <w:rsid w:val="19BC2EB8"/>
    <w:rsid w:val="19CA28B1"/>
    <w:rsid w:val="1B0342CC"/>
    <w:rsid w:val="1B522B5E"/>
    <w:rsid w:val="1B5F527B"/>
    <w:rsid w:val="1C4E77C9"/>
    <w:rsid w:val="1CE4012E"/>
    <w:rsid w:val="1E562965"/>
    <w:rsid w:val="1FAE057F"/>
    <w:rsid w:val="20274347"/>
    <w:rsid w:val="208F03B0"/>
    <w:rsid w:val="20CC5161"/>
    <w:rsid w:val="20E71F9A"/>
    <w:rsid w:val="2101073E"/>
    <w:rsid w:val="213D527E"/>
    <w:rsid w:val="21D544E9"/>
    <w:rsid w:val="25781413"/>
    <w:rsid w:val="26A30712"/>
    <w:rsid w:val="26B02E2F"/>
    <w:rsid w:val="279F537D"/>
    <w:rsid w:val="28967895"/>
    <w:rsid w:val="29CB06AB"/>
    <w:rsid w:val="2A3711E0"/>
    <w:rsid w:val="2AB1423E"/>
    <w:rsid w:val="2B3C2EE3"/>
    <w:rsid w:val="2C46226B"/>
    <w:rsid w:val="2D0B5263"/>
    <w:rsid w:val="2D197980"/>
    <w:rsid w:val="2E4D50AA"/>
    <w:rsid w:val="2E642E7C"/>
    <w:rsid w:val="2EA66FF1"/>
    <w:rsid w:val="2FD656B4"/>
    <w:rsid w:val="30872E52"/>
    <w:rsid w:val="30C96FC7"/>
    <w:rsid w:val="31A57A34"/>
    <w:rsid w:val="32193502"/>
    <w:rsid w:val="32F02F31"/>
    <w:rsid w:val="342D3D10"/>
    <w:rsid w:val="34F82448"/>
    <w:rsid w:val="3659703F"/>
    <w:rsid w:val="377C2FE5"/>
    <w:rsid w:val="378123A9"/>
    <w:rsid w:val="37CB1876"/>
    <w:rsid w:val="38314519"/>
    <w:rsid w:val="38361436"/>
    <w:rsid w:val="38963978"/>
    <w:rsid w:val="396D148D"/>
    <w:rsid w:val="3A125E82"/>
    <w:rsid w:val="3A3E6C77"/>
    <w:rsid w:val="3ADC3D9A"/>
    <w:rsid w:val="3B190B4B"/>
    <w:rsid w:val="3BCB62E9"/>
    <w:rsid w:val="3C237ED3"/>
    <w:rsid w:val="3CC72F54"/>
    <w:rsid w:val="3D112421"/>
    <w:rsid w:val="3E043D34"/>
    <w:rsid w:val="3E4217E5"/>
    <w:rsid w:val="3E907376"/>
    <w:rsid w:val="3EF26282"/>
    <w:rsid w:val="42997141"/>
    <w:rsid w:val="42E859D2"/>
    <w:rsid w:val="43CD4BC8"/>
    <w:rsid w:val="43D67F21"/>
    <w:rsid w:val="44184095"/>
    <w:rsid w:val="44B80DB9"/>
    <w:rsid w:val="44BC7116"/>
    <w:rsid w:val="44F00B6E"/>
    <w:rsid w:val="44FD328B"/>
    <w:rsid w:val="450665E4"/>
    <w:rsid w:val="462D194E"/>
    <w:rsid w:val="48627FD5"/>
    <w:rsid w:val="49E14F29"/>
    <w:rsid w:val="4B18699B"/>
    <w:rsid w:val="4C0D0258"/>
    <w:rsid w:val="4D001B6A"/>
    <w:rsid w:val="4D4B1038"/>
    <w:rsid w:val="4D8409ED"/>
    <w:rsid w:val="4DD32FF7"/>
    <w:rsid w:val="4DE1199C"/>
    <w:rsid w:val="4E393586"/>
    <w:rsid w:val="4E872A00"/>
    <w:rsid w:val="4EDD011F"/>
    <w:rsid w:val="4F1F277C"/>
    <w:rsid w:val="4F3501F1"/>
    <w:rsid w:val="4FFE51AD"/>
    <w:rsid w:val="503C735D"/>
    <w:rsid w:val="516415A6"/>
    <w:rsid w:val="51954F77"/>
    <w:rsid w:val="51E43809"/>
    <w:rsid w:val="52754DA9"/>
    <w:rsid w:val="527A416D"/>
    <w:rsid w:val="53A674DD"/>
    <w:rsid w:val="54671E67"/>
    <w:rsid w:val="54F16968"/>
    <w:rsid w:val="55322ADD"/>
    <w:rsid w:val="554051FA"/>
    <w:rsid w:val="55794BB0"/>
    <w:rsid w:val="562543F0"/>
    <w:rsid w:val="562E7748"/>
    <w:rsid w:val="571C1C97"/>
    <w:rsid w:val="57284198"/>
    <w:rsid w:val="575136EE"/>
    <w:rsid w:val="583F0740"/>
    <w:rsid w:val="59484FC5"/>
    <w:rsid w:val="598B3EF7"/>
    <w:rsid w:val="59CC52AE"/>
    <w:rsid w:val="5BF705DC"/>
    <w:rsid w:val="5C790632"/>
    <w:rsid w:val="5FF7504F"/>
    <w:rsid w:val="602776E2"/>
    <w:rsid w:val="620D6DAC"/>
    <w:rsid w:val="62946B85"/>
    <w:rsid w:val="632077B4"/>
    <w:rsid w:val="63766952"/>
    <w:rsid w:val="646761C3"/>
    <w:rsid w:val="65C9123C"/>
    <w:rsid w:val="66261ADC"/>
    <w:rsid w:val="66D6776C"/>
    <w:rsid w:val="66FE7A16"/>
    <w:rsid w:val="683706DE"/>
    <w:rsid w:val="6A70612A"/>
    <w:rsid w:val="6A710D40"/>
    <w:rsid w:val="6BA41C57"/>
    <w:rsid w:val="6BD46244"/>
    <w:rsid w:val="6BE20961"/>
    <w:rsid w:val="6C81461E"/>
    <w:rsid w:val="6C8639E2"/>
    <w:rsid w:val="6C8E6D3B"/>
    <w:rsid w:val="6DF04E6B"/>
    <w:rsid w:val="6E455156"/>
    <w:rsid w:val="6F3E2352"/>
    <w:rsid w:val="6F8C7562"/>
    <w:rsid w:val="72697ED9"/>
    <w:rsid w:val="733046A8"/>
    <w:rsid w:val="747607E0"/>
    <w:rsid w:val="74D3178F"/>
    <w:rsid w:val="76515A7A"/>
    <w:rsid w:val="77336515"/>
    <w:rsid w:val="77D71596"/>
    <w:rsid w:val="796C3F60"/>
    <w:rsid w:val="79F65A64"/>
    <w:rsid w:val="7B4909FD"/>
    <w:rsid w:val="7BCC0CE6"/>
    <w:rsid w:val="7C703D67"/>
    <w:rsid w:val="7D5F62B6"/>
    <w:rsid w:val="7DA95783"/>
    <w:rsid w:val="7DDD7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paragraph" w:styleId="2">
    <w:name w:val="heading 1"/>
    <w:basedOn w:val="1"/>
    <w:qFormat/>
    <w:uiPriority w:val="9"/>
    <w:pPr>
      <w:ind w:left="120"/>
      <w:outlineLvl w:val="0"/>
    </w:pPr>
    <w:rPr>
      <w:rFonts w:ascii="Microsoft JhengHei" w:hAnsi="Microsoft JhengHei" w:eastAsia="Microsoft JhengHei" w:cs="Microsoft JhengHei"/>
      <w:b/>
      <w:bCs/>
      <w:sz w:val="24"/>
      <w:szCs w:val="24"/>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5"/>
    <w:basedOn w:val="1"/>
    <w:next w:val="1"/>
    <w:semiHidden/>
    <w:unhideWhenUsed/>
    <w:qFormat/>
    <w:uiPriority w:val="9"/>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pPr>
      <w:ind w:left="120"/>
    </w:pPr>
    <w:rPr>
      <w:sz w:val="24"/>
      <w:szCs w:val="24"/>
    </w:rPr>
  </w:style>
  <w:style w:type="paragraph" w:styleId="6">
    <w:name w:val="Body Text Indent"/>
    <w:basedOn w:val="1"/>
    <w:link w:val="18"/>
    <w:semiHidden/>
    <w:unhideWhenUsed/>
    <w:qFormat/>
    <w:uiPriority w:val="99"/>
    <w:pPr>
      <w:spacing w:after="120"/>
      <w:ind w:left="420" w:leftChars="200"/>
    </w:pPr>
  </w:style>
  <w:style w:type="paragraph" w:styleId="7">
    <w:name w:val="header"/>
    <w:basedOn w:val="1"/>
    <w:link w:val="19"/>
    <w:unhideWhenUsed/>
    <w:qFormat/>
    <w:uiPriority w:val="99"/>
    <w:pPr>
      <w:pBdr>
        <w:bottom w:val="single" w:color="auto" w:sz="6" w:space="1"/>
      </w:pBdr>
      <w:tabs>
        <w:tab w:val="center" w:pos="4153"/>
        <w:tab w:val="right" w:pos="8306"/>
      </w:tabs>
      <w:autoSpaceDE/>
      <w:autoSpaceDN/>
      <w:snapToGrid w:val="0"/>
      <w:jc w:val="center"/>
    </w:pPr>
    <w:rPr>
      <w:rFonts w:ascii="Calibri" w:hAnsi="Calibri" w:cs="Calibri"/>
      <w:kern w:val="2"/>
      <w:sz w:val="18"/>
      <w:szCs w:val="18"/>
    </w:rPr>
  </w:style>
  <w:style w:type="paragraph" w:styleId="8">
    <w:name w:val="Normal (Web)"/>
    <w:basedOn w:val="1"/>
    <w:semiHidden/>
    <w:unhideWhenUsed/>
    <w:qFormat/>
    <w:uiPriority w:val="99"/>
    <w:rPr>
      <w:sz w:val="24"/>
    </w:rPr>
  </w:style>
  <w:style w:type="paragraph" w:styleId="9">
    <w:name w:val="Title"/>
    <w:basedOn w:val="1"/>
    <w:qFormat/>
    <w:uiPriority w:val="10"/>
    <w:pPr>
      <w:ind w:left="1964" w:right="2057"/>
      <w:jc w:val="center"/>
    </w:pPr>
    <w:rPr>
      <w:sz w:val="42"/>
      <w:szCs w:val="4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rPr>
  </w:style>
  <w:style w:type="character" w:styleId="14">
    <w:name w:val="Emphasis"/>
    <w:basedOn w:val="12"/>
    <w:qFormat/>
    <w:uiPriority w:val="20"/>
    <w:rPr>
      <w:i/>
    </w:rPr>
  </w:style>
  <w:style w:type="table" w:customStyle="1" w:styleId="15">
    <w:name w:val="Table Normal"/>
    <w:semiHidden/>
    <w:unhideWhenUsed/>
    <w:qFormat/>
    <w:uiPriority w:val="2"/>
    <w:tblPr>
      <w:tblCellMar>
        <w:top w:w="0" w:type="dxa"/>
        <w:left w:w="0" w:type="dxa"/>
        <w:bottom w:w="0" w:type="dxa"/>
        <w:right w:w="0" w:type="dxa"/>
      </w:tblCellMar>
    </w:tblPr>
  </w:style>
  <w:style w:type="paragraph" w:styleId="16">
    <w:name w:val="List Paragraph"/>
    <w:basedOn w:val="1"/>
    <w:qFormat/>
    <w:uiPriority w:val="1"/>
    <w:pPr>
      <w:spacing w:before="4"/>
      <w:ind w:left="481" w:hanging="362"/>
    </w:pPr>
  </w:style>
  <w:style w:type="paragraph" w:customStyle="1" w:styleId="17">
    <w:name w:val="Table Paragraph"/>
    <w:basedOn w:val="1"/>
    <w:qFormat/>
    <w:uiPriority w:val="1"/>
  </w:style>
  <w:style w:type="character" w:customStyle="1" w:styleId="18">
    <w:name w:val="正文文本缩进 字符"/>
    <w:basedOn w:val="12"/>
    <w:link w:val="6"/>
    <w:semiHidden/>
    <w:qFormat/>
    <w:uiPriority w:val="99"/>
    <w:rPr>
      <w:rFonts w:ascii="宋体" w:hAnsi="宋体" w:eastAsia="宋体" w:cs="宋体"/>
      <w:lang w:eastAsia="zh-CN"/>
    </w:rPr>
  </w:style>
  <w:style w:type="character" w:customStyle="1" w:styleId="19">
    <w:name w:val="页眉 字符"/>
    <w:basedOn w:val="12"/>
    <w:link w:val="7"/>
    <w:qFormat/>
    <w:uiPriority w:val="99"/>
    <w:rPr>
      <w:rFonts w:ascii="Calibri" w:hAnsi="Calibri" w:eastAsia="宋体" w:cs="Calibri"/>
      <w:kern w:val="2"/>
      <w:sz w:val="18"/>
      <w:szCs w:val="18"/>
      <w:lang w:eastAsia="zh-CN"/>
    </w:rPr>
  </w:style>
  <w:style w:type="character" w:customStyle="1" w:styleId="20">
    <w:name w:val="font11"/>
    <w:basedOn w:val="12"/>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3091</Words>
  <Characters>3593</Characters>
  <Lines>20</Lines>
  <Paragraphs>5</Paragraphs>
  <TotalTime>3</TotalTime>
  <ScaleCrop>false</ScaleCrop>
  <LinksUpToDate>false</LinksUpToDate>
  <CharactersWithSpaces>3632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2024-06-17T12:41:00Z</dcterms:created>
  <dc:creator>xb21cn</dc:creator>
  <cp:lastModifiedBy>崔超</cp:lastModifiedBy>
  <dcterms:modified xsi:type="dcterms:W3CDTF">2026-06-01T06:50:15Z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2024-01-30T00:00:00Z</vt:filetime>
  </property>
  <property fmtid="{D5CDD505-2E9C-101B-9397-08002B2CF9AE}" pid="3" name="Creator">
    <vt:lpwstr>Microsoft® Word 2013</vt:lpwstr>
  </property>
  <property fmtid="{D5CDD505-2E9C-101B-9397-08002B2CF9AE}" pid="4" name="LastSaved">
    <vt:filetime>2024-03-18T00:00:00Z</vt:filetime>
  </property>
  <property fmtid="{D5CDD505-2E9C-101B-9397-08002B2CF9AE}" pid="5" name="KSOTemplateDocerSaveRecord">
    <vt:lpwstr>eyJoZGlkIjoiNWE0ZmZhMGU2MjA3MWMyM2Q1MTJiZDkwMGY3NDMxOTAiLCJ1c2VySWQiOiI1MDg5MTA5MDIifQ==</vt:lpwstr>
  </property>
  <property fmtid="{D5CDD505-2E9C-101B-9397-08002B2CF9AE}" pid="6" name="KSOProductBuildVer">
    <vt:lpwstr>2052-12.1.0.26375</vt:lpwstr>
  </property>
  <property fmtid="{D5CDD505-2E9C-101B-9397-08002B2CF9AE}" pid="7" name="ICV">
    <vt:lpwstr>80A73E60F50E4706835B7E579B34C4DD_13</vt:lpwstr>
  </property>
</Properties>
</file>